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07F50C7" w14:textId="77777777" w:rsidR="006C5AB5" w:rsidRDefault="006C5AB5" w:rsidP="006C5AB5">
      <w:pPr>
        <w:jc w:val="both"/>
        <w:rPr>
          <w:rFonts w:ascii="Arial" w:hAnsi="Arial" w:cs="Arial"/>
          <w:b/>
          <w:bCs/>
          <w:sz w:val="22"/>
          <w:szCs w:val="22"/>
        </w:rPr>
      </w:pPr>
    </w:p>
    <w:p w14:paraId="0C2C6EC0" w14:textId="67F08085" w:rsidR="006C5AB5" w:rsidRPr="006C5AB5" w:rsidRDefault="006C5AB5" w:rsidP="006C5AB5">
      <w:pPr>
        <w:jc w:val="both"/>
        <w:rPr>
          <w:rFonts w:ascii="Arial" w:hAnsi="Arial" w:cs="Arial"/>
          <w:sz w:val="22"/>
          <w:szCs w:val="22"/>
        </w:rPr>
      </w:pPr>
      <w:r w:rsidRPr="006C5AB5">
        <w:rPr>
          <w:rFonts w:ascii="Arial" w:hAnsi="Arial" w:cs="Arial"/>
          <w:b/>
          <w:bCs/>
          <w:sz w:val="22"/>
          <w:szCs w:val="22"/>
        </w:rPr>
        <w:t>MODULO 3</w:t>
      </w:r>
    </w:p>
    <w:p w14:paraId="1FA16124" w14:textId="77777777" w:rsidR="006C5AB5" w:rsidRPr="006C5AB5" w:rsidRDefault="006C5AB5" w:rsidP="006C5AB5">
      <w:pPr>
        <w:jc w:val="both"/>
        <w:rPr>
          <w:rFonts w:ascii="Arial" w:hAnsi="Arial" w:cs="Arial"/>
          <w:sz w:val="22"/>
          <w:szCs w:val="22"/>
        </w:rPr>
      </w:pPr>
      <w:r w:rsidRPr="006C5AB5">
        <w:rPr>
          <w:rFonts w:ascii="Arial" w:hAnsi="Arial" w:cs="Arial"/>
          <w:b/>
          <w:bCs/>
          <w:sz w:val="22"/>
          <w:szCs w:val="22"/>
        </w:rPr>
        <w:t>SUJETOS PROCESALES Y LITISCONSORCIO</w:t>
      </w:r>
    </w:p>
    <w:p w14:paraId="0D186E0F" w14:textId="77777777" w:rsidR="006C5AB5" w:rsidRPr="006C5AB5" w:rsidRDefault="006C5AB5" w:rsidP="006C5AB5">
      <w:pPr>
        <w:jc w:val="both"/>
        <w:rPr>
          <w:rFonts w:ascii="Arial" w:hAnsi="Arial" w:cs="Arial"/>
          <w:sz w:val="22"/>
          <w:szCs w:val="22"/>
        </w:rPr>
      </w:pPr>
      <w:r w:rsidRPr="006C5AB5">
        <w:rPr>
          <w:rFonts w:ascii="Arial" w:hAnsi="Arial" w:cs="Arial"/>
          <w:i/>
          <w:iCs/>
          <w:sz w:val="22"/>
          <w:szCs w:val="22"/>
        </w:rPr>
        <w:t>"Los Actores del Drama Judicial"</w:t>
      </w:r>
    </w:p>
    <w:p w14:paraId="7D42EFF7" w14:textId="77777777" w:rsidR="006C5AB5" w:rsidRPr="006C5AB5" w:rsidRDefault="006C5AB5" w:rsidP="006C5AB5">
      <w:pPr>
        <w:jc w:val="both"/>
        <w:rPr>
          <w:rFonts w:ascii="Arial" w:hAnsi="Arial" w:cs="Arial"/>
          <w:b/>
          <w:bCs/>
          <w:sz w:val="22"/>
          <w:szCs w:val="22"/>
        </w:rPr>
      </w:pPr>
    </w:p>
    <w:p w14:paraId="0BFCD19E" w14:textId="77777777" w:rsidR="006C5AB5" w:rsidRPr="006C5AB5" w:rsidRDefault="006C5AB5" w:rsidP="006C5AB5">
      <w:pPr>
        <w:jc w:val="both"/>
        <w:rPr>
          <w:rFonts w:ascii="Arial" w:hAnsi="Arial" w:cs="Arial"/>
          <w:b/>
          <w:bCs/>
          <w:sz w:val="22"/>
          <w:szCs w:val="22"/>
        </w:rPr>
      </w:pPr>
      <w:r w:rsidRPr="006C5AB5">
        <w:rPr>
          <w:rFonts w:ascii="Arial" w:hAnsi="Arial" w:cs="Arial"/>
          <w:b/>
          <w:bCs/>
          <w:sz w:val="22"/>
          <w:szCs w:val="22"/>
        </w:rPr>
        <w:t>CAPSULA 3.1</w:t>
      </w:r>
    </w:p>
    <w:p w14:paraId="7D0249AD" w14:textId="77777777" w:rsidR="006C5AB5" w:rsidRPr="006C5AB5" w:rsidRDefault="006C5AB5" w:rsidP="006C5AB5">
      <w:pPr>
        <w:jc w:val="both"/>
        <w:rPr>
          <w:rFonts w:ascii="Arial" w:hAnsi="Arial" w:cs="Arial"/>
          <w:b/>
          <w:bCs/>
          <w:sz w:val="22"/>
          <w:szCs w:val="22"/>
        </w:rPr>
      </w:pPr>
      <w:r w:rsidRPr="006C5AB5">
        <w:rPr>
          <w:rFonts w:ascii="Arial" w:hAnsi="Arial" w:cs="Arial"/>
          <w:b/>
          <w:bCs/>
          <w:sz w:val="22"/>
          <w:szCs w:val="22"/>
        </w:rPr>
        <w:t>EL JUEZ: DEBERES, PODERES Y RESPONSABILIDAD</w:t>
      </w:r>
    </w:p>
    <w:p w14:paraId="5BD1634A" w14:textId="77777777" w:rsidR="006C5AB5" w:rsidRPr="006C5AB5" w:rsidRDefault="006C5AB5" w:rsidP="006C5AB5">
      <w:pPr>
        <w:jc w:val="both"/>
        <w:rPr>
          <w:rFonts w:ascii="Arial" w:hAnsi="Arial" w:cs="Arial"/>
          <w:sz w:val="22"/>
          <w:szCs w:val="22"/>
        </w:rPr>
      </w:pPr>
      <w:r w:rsidRPr="006C5AB5">
        <w:rPr>
          <w:rFonts w:ascii="Arial" w:hAnsi="Arial" w:cs="Arial"/>
          <w:b/>
          <w:bCs/>
          <w:sz w:val="22"/>
          <w:szCs w:val="22"/>
          <w:u w:val="single"/>
        </w:rPr>
        <w:t>3.1.1 El Juez como Director del Proceso</w:t>
      </w:r>
    </w:p>
    <w:p w14:paraId="0ADAE806" w14:textId="77777777" w:rsidR="006C5AB5" w:rsidRPr="006C5AB5" w:rsidRDefault="006C5AB5" w:rsidP="006C5AB5">
      <w:pPr>
        <w:jc w:val="both"/>
        <w:rPr>
          <w:rFonts w:ascii="Arial" w:hAnsi="Arial" w:cs="Arial"/>
          <w:sz w:val="22"/>
          <w:szCs w:val="22"/>
        </w:rPr>
      </w:pPr>
    </w:p>
    <w:p w14:paraId="0B03F55D" w14:textId="77777777" w:rsidR="006C5AB5" w:rsidRPr="006C5AB5" w:rsidRDefault="006C5AB5" w:rsidP="006C5AB5">
      <w:pPr>
        <w:jc w:val="both"/>
        <w:rPr>
          <w:rFonts w:ascii="Arial" w:hAnsi="Arial" w:cs="Arial"/>
          <w:sz w:val="22"/>
          <w:szCs w:val="22"/>
        </w:rPr>
      </w:pPr>
      <w:r w:rsidRPr="006C5AB5">
        <w:rPr>
          <w:rFonts w:ascii="Arial" w:hAnsi="Arial" w:cs="Arial"/>
          <w:sz w:val="22"/>
          <w:szCs w:val="22"/>
        </w:rPr>
        <w:t>Una de las transformaciones más significativas que introdujo el Código General del Proceso (Ley 1564 de 2012) fue el fortalecimiento del rol del juez como DIRECTOR ACTIVO del proceso. Atrás quedo la imagen del juez pasivo del viejo Código de Procedimiento Civil, que esperaba a que las partes movieran el proceso; el juez del CGP es un director que impulsa, ordena, corrige y sanciona.</w:t>
      </w:r>
    </w:p>
    <w:p w14:paraId="31E8B9B1" w14:textId="77777777" w:rsidR="006C5AB5" w:rsidRPr="006C5AB5" w:rsidRDefault="006C5AB5" w:rsidP="006C5AB5">
      <w:pPr>
        <w:jc w:val="both"/>
        <w:rPr>
          <w:rFonts w:ascii="Arial" w:hAnsi="Arial" w:cs="Arial"/>
          <w:sz w:val="22"/>
          <w:szCs w:val="22"/>
        </w:rPr>
      </w:pPr>
    </w:p>
    <w:p w14:paraId="48288B06" w14:textId="77777777" w:rsidR="006C5AB5" w:rsidRPr="006C5AB5" w:rsidRDefault="006C5AB5" w:rsidP="006C5AB5">
      <w:pPr>
        <w:jc w:val="both"/>
        <w:rPr>
          <w:rFonts w:ascii="Arial" w:hAnsi="Arial" w:cs="Arial"/>
          <w:sz w:val="22"/>
          <w:szCs w:val="22"/>
        </w:rPr>
      </w:pPr>
      <w:r w:rsidRPr="006C5AB5">
        <w:rPr>
          <w:rFonts w:ascii="Arial" w:hAnsi="Arial" w:cs="Arial"/>
          <w:sz w:val="22"/>
          <w:szCs w:val="22"/>
        </w:rPr>
        <w:t>El artículo 42 del CGP consagra los deberes del juez, y los artículos 43 a 45 regulan sus poderes. Esta transformación no es caprichosa: responde al modelo constitucional del artículo 228 de la Constitución Política, que impone la prevalencia del derecho sustancial sobre el procesal, la celeridad y la eficacia.</w:t>
      </w:r>
    </w:p>
    <w:p w14:paraId="566A4935" w14:textId="77777777" w:rsidR="006C5AB5" w:rsidRPr="006C5AB5" w:rsidRDefault="006C5AB5" w:rsidP="006C5AB5">
      <w:pPr>
        <w:jc w:val="both"/>
        <w:rPr>
          <w:rFonts w:ascii="Arial" w:hAnsi="Arial" w:cs="Arial"/>
          <w:b/>
          <w:bCs/>
          <w:sz w:val="22"/>
          <w:szCs w:val="22"/>
          <w:u w:val="single"/>
        </w:rPr>
      </w:pPr>
    </w:p>
    <w:p w14:paraId="468762E6" w14:textId="77777777" w:rsidR="006C5AB5" w:rsidRPr="006C5AB5" w:rsidRDefault="006C5AB5" w:rsidP="006C5AB5">
      <w:pPr>
        <w:jc w:val="both"/>
        <w:rPr>
          <w:rFonts w:ascii="Arial" w:hAnsi="Arial" w:cs="Arial"/>
          <w:sz w:val="22"/>
          <w:szCs w:val="22"/>
        </w:rPr>
      </w:pPr>
      <w:r w:rsidRPr="006C5AB5">
        <w:rPr>
          <w:rFonts w:ascii="Arial" w:hAnsi="Arial" w:cs="Arial"/>
          <w:b/>
          <w:bCs/>
          <w:sz w:val="22"/>
          <w:szCs w:val="22"/>
          <w:u w:val="single"/>
        </w:rPr>
        <w:t>3.1.2 Los Deberes del Juez (Art. 42 CGP)</w:t>
      </w:r>
    </w:p>
    <w:p w14:paraId="52E9F9EE" w14:textId="77777777" w:rsidR="006C5AB5" w:rsidRPr="006C5AB5" w:rsidRDefault="006C5AB5" w:rsidP="006C5AB5">
      <w:pPr>
        <w:jc w:val="both"/>
        <w:rPr>
          <w:rFonts w:ascii="Arial" w:hAnsi="Arial" w:cs="Arial"/>
          <w:sz w:val="22"/>
          <w:szCs w:val="22"/>
        </w:rPr>
      </w:pPr>
      <w:r w:rsidRPr="006C5AB5">
        <w:rPr>
          <w:rFonts w:ascii="Arial" w:hAnsi="Arial" w:cs="Arial"/>
          <w:sz w:val="22"/>
          <w:szCs w:val="22"/>
        </w:rPr>
        <w:t>El artículo 42 del CGP establece un catálogo de deberes del juez que es, a la vez, un verdadero programa de justicia. Los más relevantes para el litigante civil son:</w:t>
      </w:r>
    </w:p>
    <w:tbl>
      <w:tblPr>
        <w:tblW w:w="0" w:type="auto"/>
        <w:tblCellMar>
          <w:top w:w="15" w:type="dxa"/>
          <w:left w:w="15" w:type="dxa"/>
          <w:bottom w:w="15" w:type="dxa"/>
          <w:right w:w="15" w:type="dxa"/>
        </w:tblCellMar>
        <w:tblLook w:val="04A0" w:firstRow="1" w:lastRow="0" w:firstColumn="1" w:lastColumn="0" w:noHBand="0" w:noVBand="1"/>
      </w:tblPr>
      <w:tblGrid>
        <w:gridCol w:w="2328"/>
        <w:gridCol w:w="3672"/>
        <w:gridCol w:w="2828"/>
      </w:tblGrid>
      <w:tr w:rsidR="006C5AB5" w:rsidRPr="006C5AB5" w14:paraId="0C09349D"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7525FA45" w14:textId="77777777" w:rsidR="006C5AB5" w:rsidRPr="006C5AB5" w:rsidRDefault="006C5AB5" w:rsidP="00DD2DD5">
            <w:pPr>
              <w:jc w:val="both"/>
              <w:rPr>
                <w:rFonts w:ascii="Arial" w:hAnsi="Arial" w:cs="Arial"/>
                <w:sz w:val="22"/>
                <w:szCs w:val="22"/>
              </w:rPr>
            </w:pPr>
            <w:r w:rsidRPr="006C5AB5">
              <w:rPr>
                <w:rFonts w:ascii="Arial" w:hAnsi="Arial" w:cs="Arial"/>
                <w:b/>
                <w:bCs/>
                <w:sz w:val="22"/>
                <w:szCs w:val="22"/>
              </w:rPr>
              <w:t>DEBER</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4CFF2EF6" w14:textId="77777777" w:rsidR="006C5AB5" w:rsidRPr="006C5AB5" w:rsidRDefault="006C5AB5" w:rsidP="00DD2DD5">
            <w:pPr>
              <w:jc w:val="both"/>
              <w:rPr>
                <w:rFonts w:ascii="Arial" w:hAnsi="Arial" w:cs="Arial"/>
                <w:sz w:val="22"/>
                <w:szCs w:val="22"/>
              </w:rPr>
            </w:pPr>
            <w:r w:rsidRPr="006C5AB5">
              <w:rPr>
                <w:rFonts w:ascii="Arial" w:hAnsi="Arial" w:cs="Arial"/>
                <w:b/>
                <w:bCs/>
                <w:sz w:val="22"/>
                <w:szCs w:val="22"/>
              </w:rPr>
              <w:t>DESCRIPCIÓN</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74B983FB" w14:textId="77777777" w:rsidR="006C5AB5" w:rsidRPr="006C5AB5" w:rsidRDefault="006C5AB5" w:rsidP="00DD2DD5">
            <w:pPr>
              <w:jc w:val="both"/>
              <w:rPr>
                <w:rFonts w:ascii="Arial" w:hAnsi="Arial" w:cs="Arial"/>
                <w:sz w:val="22"/>
                <w:szCs w:val="22"/>
              </w:rPr>
            </w:pPr>
            <w:r w:rsidRPr="006C5AB5">
              <w:rPr>
                <w:rFonts w:ascii="Arial" w:hAnsi="Arial" w:cs="Arial"/>
                <w:b/>
                <w:bCs/>
                <w:sz w:val="22"/>
                <w:szCs w:val="22"/>
              </w:rPr>
              <w:t>CONSECUENCIA DE SU INCUMPLIMIENTO</w:t>
            </w:r>
          </w:p>
        </w:tc>
      </w:tr>
      <w:tr w:rsidR="006C5AB5" w:rsidRPr="006C5AB5" w14:paraId="48470F09"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58342B66"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Respetar y hacer efectivas las garantías del proceso</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6471C304"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El juez debe garantizar el debido proceso, la igualdad de las partes y la contradicción.</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7B535DEC"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Nulidad del proceso (Art. 133 CGP)</w:t>
            </w:r>
          </w:p>
        </w:tc>
      </w:tr>
      <w:tr w:rsidR="006C5AB5" w:rsidRPr="006C5AB5" w14:paraId="56A94A00"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6918A01D"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Dirigir el proceso</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70C35C30"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Adelantar el proceso sin dilaciones injustificadas. Hacer cumplir los términos.</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11B48D9C"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Falta disciplinaria. Mala calificación de desempeño.</w:t>
            </w:r>
          </w:p>
        </w:tc>
      </w:tr>
      <w:tr w:rsidR="006C5AB5" w:rsidRPr="006C5AB5" w14:paraId="2FF33F3A"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3788C1E9"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Decidir aunque la ley sea oscura</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1483CE4E"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No puede abstenerse de fallar por oscuridad de la ley (non lique). Debe aplicar los principios generales del derecho.</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1F8E44D4"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Prevaricato por omisión (Art. 414 Cod. Penal)</w:t>
            </w:r>
          </w:p>
        </w:tc>
      </w:tr>
      <w:tr w:rsidR="006C5AB5" w:rsidRPr="006C5AB5" w14:paraId="3494A5D1"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21CD4F1E"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Motivar las providencias</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5C60EA78"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Todas las decisiones deben ser fundamentadas juridica y fácticamente. Art. 280 CGP.</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0D0FDCC2"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Nulidad de la providencia por falta de motivación.</w:t>
            </w:r>
          </w:p>
        </w:tc>
      </w:tr>
      <w:tr w:rsidR="006C5AB5" w:rsidRPr="006C5AB5" w14:paraId="480A7920"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45AA0443"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Usar el lenguaje comprensible</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2672672B"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Art. 42 núm. 3 CGP: las providencias deben redactarse en lenguaje claro y comprensible.</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0DEC9485"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Falta disciplinaria.</w:t>
            </w:r>
          </w:p>
        </w:tc>
      </w:tr>
      <w:tr w:rsidR="006C5AB5" w:rsidRPr="006C5AB5" w14:paraId="74BF23A0"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54D58D0D"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Sanear el proceso</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1F91100E"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Corregir los errores de procedimiento y forma para evitar nulidades. Art. 132 CGP.</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1B21A4E2"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Si no sanea, el vicio puede llevar a nulidad posterior.</w:t>
            </w:r>
          </w:p>
        </w:tc>
      </w:tr>
      <w:tr w:rsidR="006C5AB5" w:rsidRPr="006C5AB5" w14:paraId="08AAA8F0"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63C6B3CC"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lastRenderedPageBreak/>
              <w:t>Respetar los precedentes</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58EC90EB"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Aplicar la jurisprudencia de las Altas Cortes como criterio auxiliar (Art. 230 C.P.). El CGP fortalece el precedente.</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06807239"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Responsabilidad disciplinaria.</w:t>
            </w:r>
          </w:p>
        </w:tc>
      </w:tr>
    </w:tbl>
    <w:p w14:paraId="161FA375" w14:textId="77777777" w:rsidR="006C5AB5" w:rsidRPr="006C5AB5" w:rsidRDefault="006C5AB5" w:rsidP="006C5AB5">
      <w:pPr>
        <w:jc w:val="both"/>
        <w:rPr>
          <w:rFonts w:ascii="Arial" w:hAnsi="Arial" w:cs="Arial"/>
          <w:sz w:val="22"/>
          <w:szCs w:val="22"/>
        </w:rPr>
      </w:pPr>
    </w:p>
    <w:p w14:paraId="56CE6FAF" w14:textId="77777777" w:rsidR="006C5AB5" w:rsidRPr="006C5AB5" w:rsidRDefault="006C5AB5" w:rsidP="006C5AB5">
      <w:pPr>
        <w:jc w:val="both"/>
        <w:rPr>
          <w:rFonts w:ascii="Arial" w:hAnsi="Arial" w:cs="Arial"/>
          <w:sz w:val="22"/>
          <w:szCs w:val="22"/>
        </w:rPr>
      </w:pPr>
      <w:r w:rsidRPr="006C5AB5">
        <w:rPr>
          <w:rFonts w:ascii="Arial" w:hAnsi="Arial" w:cs="Arial"/>
          <w:b/>
          <w:bCs/>
          <w:sz w:val="22"/>
          <w:szCs w:val="22"/>
          <w:u w:val="single"/>
        </w:rPr>
        <w:t>3.1.3 Los Poderes del Juez (Arts. 43-45 CGP)</w:t>
      </w:r>
    </w:p>
    <w:p w14:paraId="489F5E8C" w14:textId="77777777" w:rsidR="006C5AB5" w:rsidRPr="006C5AB5" w:rsidRDefault="006C5AB5" w:rsidP="006C5AB5">
      <w:pPr>
        <w:jc w:val="both"/>
        <w:rPr>
          <w:rFonts w:ascii="Arial" w:hAnsi="Arial" w:cs="Arial"/>
          <w:sz w:val="22"/>
          <w:szCs w:val="22"/>
        </w:rPr>
      </w:pPr>
      <w:r w:rsidRPr="006C5AB5">
        <w:rPr>
          <w:rFonts w:ascii="Arial" w:hAnsi="Arial" w:cs="Arial"/>
          <w:sz w:val="22"/>
          <w:szCs w:val="22"/>
        </w:rPr>
        <w:t>El CGP otorga al juez cuatro grandes tipos de poderes que le permiten ejercer efectivamente su función directora:</w:t>
      </w:r>
    </w:p>
    <w:p w14:paraId="24FAEFC3" w14:textId="77777777" w:rsidR="006C5AB5" w:rsidRPr="006C5AB5" w:rsidRDefault="006C5AB5" w:rsidP="006C5AB5">
      <w:pPr>
        <w:jc w:val="both"/>
        <w:rPr>
          <w:rFonts w:ascii="Arial" w:hAnsi="Arial" w:cs="Arial"/>
          <w:sz w:val="22"/>
          <w:szCs w:val="22"/>
        </w:rPr>
      </w:pPr>
    </w:p>
    <w:tbl>
      <w:tblPr>
        <w:tblW w:w="0" w:type="auto"/>
        <w:tblCellMar>
          <w:top w:w="15" w:type="dxa"/>
          <w:left w:w="15" w:type="dxa"/>
          <w:bottom w:w="15" w:type="dxa"/>
          <w:right w:w="15" w:type="dxa"/>
        </w:tblCellMar>
        <w:tblLook w:val="04A0" w:firstRow="1" w:lastRow="0" w:firstColumn="1" w:lastColumn="0" w:noHBand="0" w:noVBand="1"/>
      </w:tblPr>
      <w:tblGrid>
        <w:gridCol w:w="8828"/>
      </w:tblGrid>
      <w:tr w:rsidR="006C5AB5" w:rsidRPr="006C5AB5" w14:paraId="65305D2C"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D0E8F7"/>
            <w:tcMar>
              <w:top w:w="140" w:type="dxa"/>
              <w:left w:w="200" w:type="dxa"/>
              <w:bottom w:w="140" w:type="dxa"/>
              <w:right w:w="200" w:type="dxa"/>
            </w:tcMar>
            <w:hideMark/>
          </w:tcPr>
          <w:p w14:paraId="49CCC995" w14:textId="77777777" w:rsidR="006C5AB5" w:rsidRPr="006C5AB5" w:rsidRDefault="006C5AB5" w:rsidP="00DD2DD5">
            <w:pPr>
              <w:jc w:val="both"/>
              <w:rPr>
                <w:rFonts w:ascii="Arial" w:hAnsi="Arial" w:cs="Arial"/>
                <w:sz w:val="22"/>
                <w:szCs w:val="22"/>
              </w:rPr>
            </w:pPr>
            <w:r w:rsidRPr="006C5AB5">
              <w:rPr>
                <w:rFonts w:ascii="Arial" w:hAnsi="Arial" w:cs="Arial"/>
                <w:b/>
                <w:bCs/>
                <w:sz w:val="22"/>
                <w:szCs w:val="22"/>
              </w:rPr>
              <w:t>LOS CUATRO PODERES DEL JUEZ EN EL CGP</w:t>
            </w:r>
          </w:p>
          <w:p w14:paraId="505E2661" w14:textId="77777777" w:rsidR="006C5AB5" w:rsidRPr="006C5AB5" w:rsidRDefault="006C5AB5" w:rsidP="00DD2DD5">
            <w:pPr>
              <w:jc w:val="both"/>
              <w:rPr>
                <w:rFonts w:ascii="Arial" w:hAnsi="Arial" w:cs="Arial"/>
                <w:sz w:val="22"/>
                <w:szCs w:val="22"/>
              </w:rPr>
            </w:pPr>
            <w:r w:rsidRPr="006C5AB5">
              <w:rPr>
                <w:rFonts w:ascii="Arial" w:hAnsi="Arial" w:cs="Arial"/>
                <w:b/>
                <w:bCs/>
                <w:sz w:val="22"/>
                <w:szCs w:val="22"/>
              </w:rPr>
              <w:t xml:space="preserve">1. PODERES DE ORDENACIÓN E INSTRUCCIÓN (Art. 43): </w:t>
            </w:r>
            <w:r w:rsidRPr="006C5AB5">
              <w:rPr>
                <w:rFonts w:ascii="Arial" w:hAnsi="Arial" w:cs="Arial"/>
                <w:sz w:val="22"/>
                <w:szCs w:val="22"/>
              </w:rPr>
              <w:t>El juez puede ordenar a las partes, testigos, peritos y terceros la presentación de documentos y pruebas. Puede decretar pruebas de oficio en cualquier estado del proceso (Art. 169 CGP). Es el poder más importante del juez director.</w:t>
            </w:r>
          </w:p>
          <w:p w14:paraId="46F33B7E" w14:textId="77777777" w:rsidR="006C5AB5" w:rsidRPr="006C5AB5" w:rsidRDefault="006C5AB5" w:rsidP="00DD2DD5">
            <w:pPr>
              <w:jc w:val="both"/>
              <w:rPr>
                <w:rFonts w:ascii="Arial" w:hAnsi="Arial" w:cs="Arial"/>
                <w:sz w:val="22"/>
                <w:szCs w:val="22"/>
              </w:rPr>
            </w:pPr>
            <w:r w:rsidRPr="006C5AB5">
              <w:rPr>
                <w:rFonts w:ascii="Arial" w:hAnsi="Arial" w:cs="Arial"/>
                <w:b/>
                <w:bCs/>
                <w:sz w:val="22"/>
                <w:szCs w:val="22"/>
              </w:rPr>
              <w:t xml:space="preserve">2. PODERES COERCITIVOS (Art. 44): </w:t>
            </w:r>
            <w:r w:rsidRPr="006C5AB5">
              <w:rPr>
                <w:rFonts w:ascii="Arial" w:hAnsi="Arial" w:cs="Arial"/>
                <w:sz w:val="22"/>
                <w:szCs w:val="22"/>
              </w:rPr>
              <w:t>El juez puede imponer multas a las partes, sus apoderados o a terceros que no cumplan sus órdenes. Puede disponer el uso de la fuerza pública para hacer cumplir sus decisiones. Puede decretar el arresto de quienes desacaten sus órdenes.</w:t>
            </w:r>
          </w:p>
          <w:p w14:paraId="7C3E2BF5" w14:textId="77777777" w:rsidR="006C5AB5" w:rsidRPr="006C5AB5" w:rsidRDefault="006C5AB5" w:rsidP="00DD2DD5">
            <w:pPr>
              <w:jc w:val="both"/>
              <w:rPr>
                <w:rFonts w:ascii="Arial" w:hAnsi="Arial" w:cs="Arial"/>
                <w:sz w:val="22"/>
                <w:szCs w:val="22"/>
              </w:rPr>
            </w:pPr>
            <w:r w:rsidRPr="006C5AB5">
              <w:rPr>
                <w:rFonts w:ascii="Arial" w:hAnsi="Arial" w:cs="Arial"/>
                <w:b/>
                <w:bCs/>
                <w:sz w:val="22"/>
                <w:szCs w:val="22"/>
              </w:rPr>
              <w:t xml:space="preserve">3. PODERES DISCIPLINARIOS (Art. 44): </w:t>
            </w:r>
            <w:r w:rsidRPr="006C5AB5">
              <w:rPr>
                <w:rFonts w:ascii="Arial" w:hAnsi="Arial" w:cs="Arial"/>
                <w:sz w:val="22"/>
                <w:szCs w:val="22"/>
              </w:rPr>
              <w:t>El juez puede sancionar con multa o expulsión de la sala a quien irrespete al despacho o perturbe el orden. Puede poner en conocimiento del Consejo Superior de la Judicatura la conducta de los abogados que falten a la lealtad procesal.</w:t>
            </w:r>
          </w:p>
          <w:p w14:paraId="78295860" w14:textId="77777777" w:rsidR="006C5AB5" w:rsidRPr="006C5AB5" w:rsidRDefault="006C5AB5" w:rsidP="00DD2DD5">
            <w:pPr>
              <w:jc w:val="both"/>
              <w:rPr>
                <w:rFonts w:ascii="Arial" w:hAnsi="Arial" w:cs="Arial"/>
                <w:sz w:val="22"/>
                <w:szCs w:val="22"/>
              </w:rPr>
            </w:pPr>
            <w:r w:rsidRPr="006C5AB5">
              <w:rPr>
                <w:rFonts w:ascii="Arial" w:hAnsi="Arial" w:cs="Arial"/>
                <w:b/>
                <w:bCs/>
                <w:sz w:val="22"/>
                <w:szCs w:val="22"/>
              </w:rPr>
              <w:t xml:space="preserve">4. PODERES DE SANCIÓN (Art. 78 CGP): </w:t>
            </w:r>
            <w:r w:rsidRPr="006C5AB5">
              <w:rPr>
                <w:rFonts w:ascii="Arial" w:hAnsi="Arial" w:cs="Arial"/>
                <w:sz w:val="22"/>
                <w:szCs w:val="22"/>
              </w:rPr>
              <w:t>El juez puede imponer condena en costas y agencias en derecho a la parte que actúe de mala fe o con temeridad. La buena fe procesal es un deber constitucional (Art. 83 C.P.) que el CGP convierte en obligación procesal exigible.</w:t>
            </w:r>
          </w:p>
        </w:tc>
      </w:tr>
    </w:tbl>
    <w:p w14:paraId="0B735C65" w14:textId="77777777" w:rsidR="006C5AB5" w:rsidRPr="006C5AB5" w:rsidRDefault="006C5AB5" w:rsidP="006C5AB5">
      <w:pPr>
        <w:jc w:val="both"/>
        <w:rPr>
          <w:rFonts w:ascii="Arial" w:hAnsi="Arial" w:cs="Arial"/>
          <w:sz w:val="22"/>
          <w:szCs w:val="22"/>
        </w:rPr>
      </w:pPr>
    </w:p>
    <w:p w14:paraId="63AC4862" w14:textId="77777777" w:rsidR="006C5AB5" w:rsidRPr="006C5AB5" w:rsidRDefault="006C5AB5" w:rsidP="006C5AB5">
      <w:pPr>
        <w:jc w:val="both"/>
        <w:rPr>
          <w:rFonts w:ascii="Arial" w:hAnsi="Arial" w:cs="Arial"/>
          <w:sz w:val="22"/>
          <w:szCs w:val="22"/>
        </w:rPr>
      </w:pPr>
      <w:r w:rsidRPr="006C5AB5">
        <w:rPr>
          <w:rFonts w:ascii="Arial" w:hAnsi="Arial" w:cs="Arial"/>
          <w:b/>
          <w:bCs/>
          <w:sz w:val="22"/>
          <w:szCs w:val="22"/>
          <w:u w:val="single"/>
        </w:rPr>
        <w:t>3.1.4 El Poder del Juez de Decretar Pruebas de Oficio</w:t>
      </w:r>
    </w:p>
    <w:p w14:paraId="6361D28F" w14:textId="77777777" w:rsidR="006C5AB5" w:rsidRPr="006C5AB5" w:rsidRDefault="006C5AB5" w:rsidP="006C5AB5">
      <w:pPr>
        <w:jc w:val="both"/>
        <w:rPr>
          <w:rFonts w:ascii="Arial" w:hAnsi="Arial" w:cs="Arial"/>
          <w:sz w:val="22"/>
          <w:szCs w:val="22"/>
        </w:rPr>
      </w:pPr>
      <w:r w:rsidRPr="006C5AB5">
        <w:rPr>
          <w:rFonts w:ascii="Arial" w:hAnsi="Arial" w:cs="Arial"/>
          <w:sz w:val="22"/>
          <w:szCs w:val="22"/>
        </w:rPr>
        <w:t>Uno de los poderes más debatidos y relevantes del juez director es la facultad de decretar pruebas de OFICIO: sin que las partes lo pidan, el juez puede ordenar la práctica de pruebas que considere necesarias para esclarecer los hechos.</w:t>
      </w:r>
    </w:p>
    <w:p w14:paraId="3AD79490" w14:textId="77777777" w:rsidR="006C5AB5" w:rsidRPr="006C5AB5" w:rsidRDefault="006C5AB5" w:rsidP="006C5AB5">
      <w:pPr>
        <w:jc w:val="both"/>
        <w:rPr>
          <w:rFonts w:ascii="Arial" w:hAnsi="Arial" w:cs="Arial"/>
          <w:sz w:val="22"/>
          <w:szCs w:val="22"/>
        </w:rPr>
      </w:pPr>
      <w:r w:rsidRPr="006C5AB5">
        <w:rPr>
          <w:rFonts w:ascii="Arial" w:hAnsi="Arial" w:cs="Arial"/>
          <w:sz w:val="22"/>
          <w:szCs w:val="22"/>
        </w:rPr>
        <w:t>El artículo 169 del CGP establece: 'El juez podrá decretar pruebas de oficio, en las oportunidades probatorias del proceso y, excepcionalmente, despues de la instrucción del proceso'. Esta potestad es una expresión del modelo publicistico del proceso adoptado por el CGP, que busca que la verdad -y no la habilidad estratégica de los abogados- sea la base de las decisiones judiciales.</w:t>
      </w:r>
    </w:p>
    <w:p w14:paraId="7B6B1F44" w14:textId="77777777" w:rsidR="006C5AB5" w:rsidRPr="006C5AB5" w:rsidRDefault="006C5AB5" w:rsidP="006C5AB5">
      <w:pPr>
        <w:jc w:val="both"/>
        <w:rPr>
          <w:rFonts w:ascii="Arial" w:hAnsi="Arial" w:cs="Arial"/>
          <w:sz w:val="22"/>
          <w:szCs w:val="22"/>
        </w:rPr>
      </w:pPr>
      <w:r w:rsidRPr="006C5AB5">
        <w:rPr>
          <w:rFonts w:ascii="Arial" w:hAnsi="Arial" w:cs="Arial"/>
          <w:b/>
          <w:bCs/>
          <w:sz w:val="22"/>
          <w:szCs w:val="22"/>
          <w:u w:val="single"/>
        </w:rPr>
        <w:t>3.1.5 Responsabilidad del Juez</w:t>
      </w:r>
    </w:p>
    <w:p w14:paraId="579B746E" w14:textId="77777777" w:rsidR="006C5AB5" w:rsidRPr="006C5AB5" w:rsidRDefault="006C5AB5" w:rsidP="006C5AB5">
      <w:pPr>
        <w:jc w:val="both"/>
        <w:rPr>
          <w:rFonts w:ascii="Arial" w:hAnsi="Arial" w:cs="Arial"/>
          <w:sz w:val="22"/>
          <w:szCs w:val="22"/>
        </w:rPr>
      </w:pPr>
      <w:r w:rsidRPr="006C5AB5">
        <w:rPr>
          <w:rFonts w:ascii="Arial" w:hAnsi="Arial" w:cs="Arial"/>
          <w:sz w:val="22"/>
          <w:szCs w:val="22"/>
        </w:rPr>
        <w:t>El juez que incumple sus deberes o abusa de sus poderes puede incurrir en responsabilidad de tres tipos, que el estudiante de Derecho debe conocer:</w:t>
      </w:r>
    </w:p>
    <w:tbl>
      <w:tblPr>
        <w:tblW w:w="0" w:type="auto"/>
        <w:tblCellMar>
          <w:top w:w="15" w:type="dxa"/>
          <w:left w:w="15" w:type="dxa"/>
          <w:bottom w:w="15" w:type="dxa"/>
          <w:right w:w="15" w:type="dxa"/>
        </w:tblCellMar>
        <w:tblLook w:val="04A0" w:firstRow="1" w:lastRow="0" w:firstColumn="1" w:lastColumn="0" w:noHBand="0" w:noVBand="1"/>
      </w:tblPr>
      <w:tblGrid>
        <w:gridCol w:w="2589"/>
        <w:gridCol w:w="3364"/>
        <w:gridCol w:w="2875"/>
      </w:tblGrid>
      <w:tr w:rsidR="006C5AB5" w:rsidRPr="006C5AB5" w14:paraId="17DEE219"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01CE7C34" w14:textId="77777777" w:rsidR="006C5AB5" w:rsidRPr="006C5AB5" w:rsidRDefault="006C5AB5" w:rsidP="00DD2DD5">
            <w:pPr>
              <w:jc w:val="both"/>
              <w:rPr>
                <w:rFonts w:ascii="Arial" w:hAnsi="Arial" w:cs="Arial"/>
                <w:sz w:val="22"/>
                <w:szCs w:val="22"/>
              </w:rPr>
            </w:pPr>
            <w:r w:rsidRPr="006C5AB5">
              <w:rPr>
                <w:rFonts w:ascii="Arial" w:hAnsi="Arial" w:cs="Arial"/>
                <w:b/>
                <w:bCs/>
                <w:sz w:val="22"/>
                <w:szCs w:val="22"/>
              </w:rPr>
              <w:t>TIPO DE RESPONSABILIDAD</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697F7B01" w14:textId="77777777" w:rsidR="006C5AB5" w:rsidRPr="006C5AB5" w:rsidRDefault="006C5AB5" w:rsidP="00DD2DD5">
            <w:pPr>
              <w:jc w:val="both"/>
              <w:rPr>
                <w:rFonts w:ascii="Arial" w:hAnsi="Arial" w:cs="Arial"/>
                <w:sz w:val="22"/>
                <w:szCs w:val="22"/>
              </w:rPr>
            </w:pPr>
            <w:r w:rsidRPr="006C5AB5">
              <w:rPr>
                <w:rFonts w:ascii="Arial" w:hAnsi="Arial" w:cs="Arial"/>
                <w:b/>
                <w:bCs/>
                <w:sz w:val="22"/>
                <w:szCs w:val="22"/>
              </w:rPr>
              <w:t>FUNDAMENTO</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5A9EC455" w14:textId="77777777" w:rsidR="006C5AB5" w:rsidRPr="006C5AB5" w:rsidRDefault="006C5AB5" w:rsidP="00DD2DD5">
            <w:pPr>
              <w:jc w:val="both"/>
              <w:rPr>
                <w:rFonts w:ascii="Arial" w:hAnsi="Arial" w:cs="Arial"/>
                <w:sz w:val="22"/>
                <w:szCs w:val="22"/>
              </w:rPr>
            </w:pPr>
            <w:r w:rsidRPr="006C5AB5">
              <w:rPr>
                <w:rFonts w:ascii="Arial" w:hAnsi="Arial" w:cs="Arial"/>
                <w:b/>
                <w:bCs/>
                <w:sz w:val="22"/>
                <w:szCs w:val="22"/>
              </w:rPr>
              <w:t>ORGANISMO COMPETENTE</w:t>
            </w:r>
          </w:p>
        </w:tc>
      </w:tr>
      <w:tr w:rsidR="006C5AB5" w:rsidRPr="006C5AB5" w14:paraId="47CE520B"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5C949E2A"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Disciplinaria</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4C849D3B"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Art. 153 y ss. Ley 270/96. Art. 107 CGP. Faltas al deber funcional.</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1690B076"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Consejo Superior de la Judicatura - Sala Disciplinaria</w:t>
            </w:r>
          </w:p>
        </w:tc>
      </w:tr>
      <w:tr w:rsidR="006C5AB5" w:rsidRPr="006C5AB5" w14:paraId="5F639310"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512E4C28"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lastRenderedPageBreak/>
              <w:t>Penal</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782C8467"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Prevaricato por acción (Art. 413 C.P.), por omisión (Art. 414 C.P.), cohecho, concusión.</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5EE05682"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Fiscalía General de la Nación / Corte Suprema (si tiene fuero)</w:t>
            </w:r>
          </w:p>
        </w:tc>
      </w:tr>
      <w:tr w:rsidR="006C5AB5" w:rsidRPr="006C5AB5" w14:paraId="136B3694"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0A0DC4DA"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Patrimonial del Estado</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4D459239"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Art. 90 C.P. y Art. 65 Ley 270/96: el Estado responde por el error judicial y la privación injusta de libertad.</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010762F0"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Consejo de Estado / Tribunales Administrativos (acción de reparación directa)</w:t>
            </w:r>
          </w:p>
        </w:tc>
      </w:tr>
    </w:tbl>
    <w:p w14:paraId="131997BF" w14:textId="77777777" w:rsidR="006C5AB5" w:rsidRPr="006C5AB5" w:rsidRDefault="006C5AB5" w:rsidP="006C5AB5">
      <w:pPr>
        <w:jc w:val="both"/>
        <w:rPr>
          <w:rFonts w:ascii="Arial" w:hAnsi="Arial" w:cs="Arial"/>
          <w:sz w:val="22"/>
          <w:szCs w:val="22"/>
        </w:rPr>
      </w:pPr>
    </w:p>
    <w:p w14:paraId="57DF4068" w14:textId="77777777" w:rsidR="006C5AB5" w:rsidRPr="006C5AB5" w:rsidRDefault="006C5AB5" w:rsidP="006C5AB5">
      <w:pPr>
        <w:jc w:val="both"/>
        <w:rPr>
          <w:rFonts w:ascii="Arial" w:hAnsi="Arial" w:cs="Arial"/>
          <w:b/>
          <w:bCs/>
          <w:sz w:val="22"/>
          <w:szCs w:val="22"/>
        </w:rPr>
      </w:pPr>
      <w:r w:rsidRPr="006C5AB5">
        <w:rPr>
          <w:rFonts w:ascii="Arial" w:hAnsi="Arial" w:cs="Arial"/>
          <w:b/>
          <w:bCs/>
          <w:sz w:val="22"/>
          <w:szCs w:val="22"/>
        </w:rPr>
        <w:t>CAPSULA 3.2</w:t>
      </w:r>
    </w:p>
    <w:p w14:paraId="2AB6B8F3" w14:textId="77777777" w:rsidR="006C5AB5" w:rsidRPr="006C5AB5" w:rsidRDefault="006C5AB5" w:rsidP="006C5AB5">
      <w:pPr>
        <w:jc w:val="both"/>
        <w:rPr>
          <w:rFonts w:ascii="Arial" w:hAnsi="Arial" w:cs="Arial"/>
          <w:b/>
          <w:bCs/>
          <w:sz w:val="22"/>
          <w:szCs w:val="22"/>
        </w:rPr>
      </w:pPr>
      <w:r w:rsidRPr="006C5AB5">
        <w:rPr>
          <w:rFonts w:ascii="Arial" w:hAnsi="Arial" w:cs="Arial"/>
          <w:b/>
          <w:bCs/>
          <w:sz w:val="22"/>
          <w:szCs w:val="22"/>
        </w:rPr>
        <w:t>IMPEDIMENTOS Y RECUSACIONES</w:t>
      </w:r>
    </w:p>
    <w:p w14:paraId="3EE2184C" w14:textId="77777777" w:rsidR="006C5AB5" w:rsidRPr="006C5AB5" w:rsidRDefault="006C5AB5" w:rsidP="006C5AB5">
      <w:pPr>
        <w:jc w:val="both"/>
        <w:rPr>
          <w:rFonts w:ascii="Arial" w:hAnsi="Arial" w:cs="Arial"/>
          <w:sz w:val="22"/>
          <w:szCs w:val="22"/>
        </w:rPr>
      </w:pPr>
      <w:r w:rsidRPr="006C5AB5">
        <w:rPr>
          <w:rFonts w:ascii="Arial" w:hAnsi="Arial" w:cs="Arial"/>
          <w:b/>
          <w:bCs/>
          <w:sz w:val="22"/>
          <w:szCs w:val="22"/>
          <w:u w:val="single"/>
        </w:rPr>
        <w:t>3.2.1 La Imparcialidad Judicial como Garantía Constitucional</w:t>
      </w:r>
    </w:p>
    <w:p w14:paraId="02CAE32C" w14:textId="77777777" w:rsidR="006C5AB5" w:rsidRPr="006C5AB5" w:rsidRDefault="006C5AB5" w:rsidP="006C5AB5">
      <w:pPr>
        <w:jc w:val="both"/>
        <w:rPr>
          <w:rFonts w:ascii="Arial" w:hAnsi="Arial" w:cs="Arial"/>
          <w:sz w:val="22"/>
          <w:szCs w:val="22"/>
        </w:rPr>
      </w:pPr>
    </w:p>
    <w:p w14:paraId="3C79AE01" w14:textId="77777777" w:rsidR="006C5AB5" w:rsidRPr="006C5AB5" w:rsidRDefault="006C5AB5" w:rsidP="006C5AB5">
      <w:pPr>
        <w:jc w:val="both"/>
        <w:rPr>
          <w:rFonts w:ascii="Arial" w:hAnsi="Arial" w:cs="Arial"/>
          <w:sz w:val="22"/>
          <w:szCs w:val="22"/>
        </w:rPr>
      </w:pPr>
      <w:r w:rsidRPr="006C5AB5">
        <w:rPr>
          <w:rFonts w:ascii="Arial" w:hAnsi="Arial" w:cs="Arial"/>
          <w:sz w:val="22"/>
          <w:szCs w:val="22"/>
        </w:rPr>
        <w:t>La imparcialidad del juez no es simplemente una virtud ética: es una GARANTÍA CONSTITUCIONAL que integra el derecho al debido proceso del artículo 29 de la Constitución Política. Un juez parcializado -que tenga interés en el resultado, parentesco con las partes, o prejuicios que afecten su decisión- viola el derecho fundamental al juez natural imparcial.</w:t>
      </w:r>
    </w:p>
    <w:p w14:paraId="23153DD9" w14:textId="77777777" w:rsidR="006C5AB5" w:rsidRPr="006C5AB5" w:rsidRDefault="006C5AB5" w:rsidP="006C5AB5">
      <w:pPr>
        <w:jc w:val="both"/>
        <w:rPr>
          <w:rFonts w:ascii="Arial" w:hAnsi="Arial" w:cs="Arial"/>
          <w:sz w:val="22"/>
          <w:szCs w:val="22"/>
        </w:rPr>
      </w:pPr>
    </w:p>
    <w:p w14:paraId="00F28461" w14:textId="77777777" w:rsidR="006C5AB5" w:rsidRPr="006C5AB5" w:rsidRDefault="006C5AB5" w:rsidP="006C5AB5">
      <w:pPr>
        <w:jc w:val="both"/>
        <w:rPr>
          <w:rFonts w:ascii="Arial" w:hAnsi="Arial" w:cs="Arial"/>
          <w:sz w:val="22"/>
          <w:szCs w:val="22"/>
        </w:rPr>
      </w:pPr>
      <w:r w:rsidRPr="006C5AB5">
        <w:rPr>
          <w:rFonts w:ascii="Arial" w:hAnsi="Arial" w:cs="Arial"/>
          <w:sz w:val="22"/>
          <w:szCs w:val="22"/>
        </w:rPr>
        <w:t>El CGP regula la imparcialidad a través de dos figuras complementarias: el IMPEDIMENTO (iniciativa del propio juez para separarse del caso) y la RECUSACIÓN (iniciativa de las partes para apartar al juez).</w:t>
      </w:r>
    </w:p>
    <w:p w14:paraId="72CD28D8" w14:textId="77777777" w:rsidR="006C5AB5" w:rsidRPr="006C5AB5" w:rsidRDefault="006C5AB5" w:rsidP="006C5AB5">
      <w:pPr>
        <w:jc w:val="both"/>
        <w:rPr>
          <w:rFonts w:ascii="Arial" w:hAnsi="Arial" w:cs="Arial"/>
          <w:b/>
          <w:bCs/>
          <w:sz w:val="22"/>
          <w:szCs w:val="22"/>
          <w:u w:val="single"/>
        </w:rPr>
      </w:pPr>
    </w:p>
    <w:p w14:paraId="43A4DBBC" w14:textId="77777777" w:rsidR="006C5AB5" w:rsidRPr="006C5AB5" w:rsidRDefault="006C5AB5" w:rsidP="006C5AB5">
      <w:pPr>
        <w:jc w:val="both"/>
        <w:rPr>
          <w:rFonts w:ascii="Arial" w:hAnsi="Arial" w:cs="Arial"/>
          <w:sz w:val="22"/>
          <w:szCs w:val="22"/>
        </w:rPr>
      </w:pPr>
      <w:r w:rsidRPr="006C5AB5">
        <w:rPr>
          <w:rFonts w:ascii="Arial" w:hAnsi="Arial" w:cs="Arial"/>
          <w:b/>
          <w:bCs/>
          <w:sz w:val="22"/>
          <w:szCs w:val="22"/>
          <w:u w:val="single"/>
        </w:rPr>
        <w:t>3.2.2 Las Causales de Impedimento y Recusación (Art. 141 CGP)</w:t>
      </w:r>
    </w:p>
    <w:p w14:paraId="268E84A7" w14:textId="77777777" w:rsidR="006C5AB5" w:rsidRPr="006C5AB5" w:rsidRDefault="006C5AB5" w:rsidP="006C5AB5">
      <w:pPr>
        <w:jc w:val="both"/>
        <w:rPr>
          <w:rFonts w:ascii="Arial" w:hAnsi="Arial" w:cs="Arial"/>
          <w:sz w:val="22"/>
          <w:szCs w:val="22"/>
        </w:rPr>
      </w:pPr>
    </w:p>
    <w:p w14:paraId="4483CDD7" w14:textId="77777777" w:rsidR="006C5AB5" w:rsidRPr="006C5AB5" w:rsidRDefault="006C5AB5" w:rsidP="006C5AB5">
      <w:pPr>
        <w:jc w:val="both"/>
        <w:rPr>
          <w:rFonts w:ascii="Arial" w:hAnsi="Arial" w:cs="Arial"/>
          <w:sz w:val="22"/>
          <w:szCs w:val="22"/>
        </w:rPr>
      </w:pPr>
      <w:r w:rsidRPr="006C5AB5">
        <w:rPr>
          <w:rFonts w:ascii="Arial" w:hAnsi="Arial" w:cs="Arial"/>
          <w:sz w:val="22"/>
          <w:szCs w:val="22"/>
        </w:rPr>
        <w:t>El artículo 141 del CGP establece un catálogo TAXATIVO de causales de impedimento. Son taxativas porque no pueden crearse por analogía: si el supuesto de hecho no encaja exactamente en alguna de ellas, no hay causal de impedimento. Las más importantes son:</w:t>
      </w:r>
    </w:p>
    <w:tbl>
      <w:tblPr>
        <w:tblW w:w="0" w:type="auto"/>
        <w:tblCellMar>
          <w:top w:w="15" w:type="dxa"/>
          <w:left w:w="15" w:type="dxa"/>
          <w:bottom w:w="15" w:type="dxa"/>
          <w:right w:w="15" w:type="dxa"/>
        </w:tblCellMar>
        <w:tblLook w:val="04A0" w:firstRow="1" w:lastRow="0" w:firstColumn="1" w:lastColumn="0" w:noHBand="0" w:noVBand="1"/>
      </w:tblPr>
      <w:tblGrid>
        <w:gridCol w:w="520"/>
        <w:gridCol w:w="4678"/>
        <w:gridCol w:w="3630"/>
      </w:tblGrid>
      <w:tr w:rsidR="006C5AB5" w:rsidRPr="006C5AB5" w14:paraId="4DCA3AFD"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0F7C7C69" w14:textId="77777777" w:rsidR="006C5AB5" w:rsidRPr="006C5AB5" w:rsidRDefault="006C5AB5" w:rsidP="00DD2DD5">
            <w:pPr>
              <w:jc w:val="both"/>
              <w:rPr>
                <w:rFonts w:ascii="Arial" w:hAnsi="Arial" w:cs="Arial"/>
                <w:sz w:val="22"/>
                <w:szCs w:val="22"/>
              </w:rPr>
            </w:pPr>
            <w:r w:rsidRPr="006C5AB5">
              <w:rPr>
                <w:rFonts w:ascii="Arial" w:hAnsi="Arial" w:cs="Arial"/>
                <w:b/>
                <w:bCs/>
                <w:sz w:val="22"/>
                <w:szCs w:val="22"/>
              </w:rPr>
              <w:t>N.</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35BD90AD" w14:textId="77777777" w:rsidR="006C5AB5" w:rsidRPr="006C5AB5" w:rsidRDefault="006C5AB5" w:rsidP="00DD2DD5">
            <w:pPr>
              <w:jc w:val="both"/>
              <w:rPr>
                <w:rFonts w:ascii="Arial" w:hAnsi="Arial" w:cs="Arial"/>
                <w:sz w:val="22"/>
                <w:szCs w:val="22"/>
              </w:rPr>
            </w:pPr>
            <w:r w:rsidRPr="006C5AB5">
              <w:rPr>
                <w:rFonts w:ascii="Arial" w:hAnsi="Arial" w:cs="Arial"/>
                <w:b/>
                <w:bCs/>
                <w:sz w:val="22"/>
                <w:szCs w:val="22"/>
              </w:rPr>
              <w:t>CAUSAL (Art. 141 CGP)</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44641018" w14:textId="77777777" w:rsidR="006C5AB5" w:rsidRPr="006C5AB5" w:rsidRDefault="006C5AB5" w:rsidP="00DD2DD5">
            <w:pPr>
              <w:jc w:val="both"/>
              <w:rPr>
                <w:rFonts w:ascii="Arial" w:hAnsi="Arial" w:cs="Arial"/>
                <w:sz w:val="22"/>
                <w:szCs w:val="22"/>
              </w:rPr>
            </w:pPr>
            <w:r w:rsidRPr="006C5AB5">
              <w:rPr>
                <w:rFonts w:ascii="Arial" w:hAnsi="Arial" w:cs="Arial"/>
                <w:b/>
                <w:bCs/>
                <w:sz w:val="22"/>
                <w:szCs w:val="22"/>
              </w:rPr>
              <w:t>EJEMPLO PRACTICO</w:t>
            </w:r>
          </w:p>
        </w:tc>
      </w:tr>
      <w:tr w:rsidR="006C5AB5" w:rsidRPr="006C5AB5" w14:paraId="6727362C"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6245E6AE"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1</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2EAF9B32"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Tener interés directo o indirecto en el proceso o en otro similar.</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21E19BEA"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El juez es accionista de la empresa demandada.</w:t>
            </w:r>
          </w:p>
        </w:tc>
      </w:tr>
      <w:tr w:rsidR="006C5AB5" w:rsidRPr="006C5AB5" w14:paraId="5A779EC7"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665631D7"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2</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13C2E89D"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Ser cónyuge, compañero permanente o pariente hasta el 4 grado de consanguinidad, 2 de afinidad o 1 civil de alguna de las partes.</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37628AE7"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El juez es primo de la demandante.</w:t>
            </w:r>
          </w:p>
        </w:tc>
      </w:tr>
      <w:tr w:rsidR="006C5AB5" w:rsidRPr="006C5AB5" w14:paraId="202E41CE"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3A13107C"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3</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086C36DF"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Ser cónyuge o pariente del apoderado de alguna de las partes.</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3A81C9FA"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La esposa del juez es la abogada del demandado.</w:t>
            </w:r>
          </w:p>
        </w:tc>
      </w:tr>
      <w:tr w:rsidR="006C5AB5" w:rsidRPr="006C5AB5" w14:paraId="0FC04BE4"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299F4857"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4</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5EA6F68A"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Haber conocido del proceso en instancia anterior.</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464CEA2B"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El magistrado que como juez de circuito fallo en primera instancia, no puede conocer la apelación.</w:t>
            </w:r>
          </w:p>
        </w:tc>
      </w:tr>
      <w:tr w:rsidR="006C5AB5" w:rsidRPr="006C5AB5" w14:paraId="4A0C5B49"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5F2C1C41"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5</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3A44CCD2"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Ser amigo íntimo o enemigo manifiesto de alguna de las partes.</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7C725AA5"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El juez y el demandante son amigos del alma desde el colegio.</w:t>
            </w:r>
          </w:p>
        </w:tc>
      </w:tr>
      <w:tr w:rsidR="006C5AB5" w:rsidRPr="006C5AB5" w14:paraId="5656D249"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5716D65C"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6</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222A7545"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Haber recibido donación, hospedaje u otro beneficio de alguna de las partes.</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51E1967B"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Una de las partes pago el viaje del juez.</w:t>
            </w:r>
          </w:p>
        </w:tc>
      </w:tr>
      <w:tr w:rsidR="006C5AB5" w:rsidRPr="006C5AB5" w14:paraId="3B706107"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5BCE200C"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lastRenderedPageBreak/>
              <w:t>7</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0DB04AEC"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Tener pleito pendiente con alguna de las partes.</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3F36FC0D"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El juez y el demandado estan en litigio por una deuda.</w:t>
            </w:r>
          </w:p>
        </w:tc>
      </w:tr>
      <w:tr w:rsidR="006C5AB5" w:rsidRPr="006C5AB5" w14:paraId="21AD9CF6"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61472F5E"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8</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02F12396"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Haber emitido concepto sobre el proceso fuera de actuación judicial.</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77EEDD52"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El juez en una conferencia opino que la pretensión era infundada.</w:t>
            </w:r>
          </w:p>
        </w:tc>
      </w:tr>
    </w:tbl>
    <w:p w14:paraId="1C6B51D3" w14:textId="77777777" w:rsidR="006C5AB5" w:rsidRPr="006C5AB5" w:rsidRDefault="006C5AB5" w:rsidP="006C5AB5">
      <w:pPr>
        <w:jc w:val="both"/>
        <w:rPr>
          <w:rFonts w:ascii="Arial" w:hAnsi="Arial" w:cs="Arial"/>
          <w:sz w:val="22"/>
          <w:szCs w:val="22"/>
        </w:rPr>
      </w:pPr>
    </w:p>
    <w:p w14:paraId="5C2ED7EE" w14:textId="77777777" w:rsidR="006C5AB5" w:rsidRPr="006C5AB5" w:rsidRDefault="006C5AB5" w:rsidP="006C5AB5">
      <w:pPr>
        <w:jc w:val="both"/>
        <w:rPr>
          <w:rFonts w:ascii="Arial" w:hAnsi="Arial" w:cs="Arial"/>
          <w:sz w:val="22"/>
          <w:szCs w:val="22"/>
        </w:rPr>
      </w:pPr>
      <w:r w:rsidRPr="006C5AB5">
        <w:rPr>
          <w:rFonts w:ascii="Arial" w:hAnsi="Arial" w:cs="Arial"/>
          <w:b/>
          <w:bCs/>
          <w:sz w:val="22"/>
          <w:szCs w:val="22"/>
          <w:u w:val="single"/>
        </w:rPr>
        <w:t>3.2.3 El Trámite del Impedimento</w:t>
      </w:r>
    </w:p>
    <w:p w14:paraId="0C1E9BDB" w14:textId="77777777" w:rsidR="006C5AB5" w:rsidRPr="006C5AB5" w:rsidRDefault="006C5AB5" w:rsidP="006C5AB5">
      <w:pPr>
        <w:jc w:val="both"/>
        <w:rPr>
          <w:rFonts w:ascii="Arial" w:hAnsi="Arial" w:cs="Arial"/>
          <w:sz w:val="22"/>
          <w:szCs w:val="22"/>
        </w:rPr>
      </w:pPr>
    </w:p>
    <w:p w14:paraId="0D4DE499" w14:textId="77777777" w:rsidR="006C5AB5" w:rsidRPr="006C5AB5" w:rsidRDefault="006C5AB5" w:rsidP="006C5AB5">
      <w:pPr>
        <w:jc w:val="both"/>
        <w:rPr>
          <w:rFonts w:ascii="Arial" w:hAnsi="Arial" w:cs="Arial"/>
          <w:sz w:val="22"/>
          <w:szCs w:val="22"/>
        </w:rPr>
      </w:pPr>
      <w:r w:rsidRPr="006C5AB5">
        <w:rPr>
          <w:rFonts w:ascii="Arial" w:hAnsi="Arial" w:cs="Arial"/>
          <w:sz w:val="22"/>
          <w:szCs w:val="22"/>
        </w:rPr>
        <w:t xml:space="preserve">Cuando el juez advierte que se encuentra en alguna de las causales del artículo 141, tiene la OBLIGACIÓN de declararse impedido de oficio. No es facultativo: si el juez conoce que está impedido y no lo declara, incurre en falta disciplinaria y </w:t>
      </w:r>
    </w:p>
    <w:p w14:paraId="0047725D" w14:textId="77777777" w:rsidR="006C5AB5" w:rsidRPr="006C5AB5" w:rsidRDefault="006C5AB5" w:rsidP="006C5AB5">
      <w:pPr>
        <w:jc w:val="both"/>
        <w:rPr>
          <w:rFonts w:ascii="Arial" w:hAnsi="Arial" w:cs="Arial"/>
          <w:sz w:val="22"/>
          <w:szCs w:val="22"/>
        </w:rPr>
      </w:pPr>
      <w:r w:rsidRPr="006C5AB5">
        <w:rPr>
          <w:rFonts w:ascii="Arial" w:hAnsi="Arial" w:cs="Arial"/>
          <w:sz w:val="22"/>
          <w:szCs w:val="22"/>
        </w:rPr>
        <w:t>puede configurarse el delito de prevaricato.</w:t>
      </w:r>
    </w:p>
    <w:p w14:paraId="4FFB16C7" w14:textId="77777777" w:rsidR="006C5AB5" w:rsidRPr="006C5AB5" w:rsidRDefault="006C5AB5" w:rsidP="006C5AB5">
      <w:pPr>
        <w:jc w:val="both"/>
        <w:rPr>
          <w:rFonts w:ascii="Arial" w:hAnsi="Arial" w:cs="Arial"/>
          <w:sz w:val="22"/>
          <w:szCs w:val="22"/>
        </w:rPr>
      </w:pPr>
    </w:p>
    <w:tbl>
      <w:tblPr>
        <w:tblW w:w="0" w:type="auto"/>
        <w:tblCellMar>
          <w:top w:w="15" w:type="dxa"/>
          <w:left w:w="15" w:type="dxa"/>
          <w:bottom w:w="15" w:type="dxa"/>
          <w:right w:w="15" w:type="dxa"/>
        </w:tblCellMar>
        <w:tblLook w:val="04A0" w:firstRow="1" w:lastRow="0" w:firstColumn="1" w:lastColumn="0" w:noHBand="0" w:noVBand="1"/>
      </w:tblPr>
      <w:tblGrid>
        <w:gridCol w:w="8828"/>
      </w:tblGrid>
      <w:tr w:rsidR="006C5AB5" w:rsidRPr="006C5AB5" w14:paraId="489BC80B"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3CD"/>
            <w:tcMar>
              <w:top w:w="140" w:type="dxa"/>
              <w:left w:w="200" w:type="dxa"/>
              <w:bottom w:w="140" w:type="dxa"/>
              <w:right w:w="200" w:type="dxa"/>
            </w:tcMar>
            <w:hideMark/>
          </w:tcPr>
          <w:p w14:paraId="6EA5A496" w14:textId="77777777" w:rsidR="006C5AB5" w:rsidRPr="006C5AB5" w:rsidRDefault="006C5AB5" w:rsidP="00DD2DD5">
            <w:pPr>
              <w:jc w:val="both"/>
              <w:rPr>
                <w:rFonts w:ascii="Arial" w:hAnsi="Arial" w:cs="Arial"/>
                <w:sz w:val="22"/>
                <w:szCs w:val="22"/>
              </w:rPr>
            </w:pPr>
            <w:r w:rsidRPr="006C5AB5">
              <w:rPr>
                <w:rFonts w:ascii="Arial" w:hAnsi="Arial" w:cs="Arial"/>
                <w:b/>
                <w:bCs/>
                <w:sz w:val="22"/>
                <w:szCs w:val="22"/>
              </w:rPr>
              <w:t>PROCEDIMIENTO DEL IMPEDIMENTO (Arts. 141-143 CGP)</w:t>
            </w:r>
          </w:p>
          <w:p w14:paraId="63A803FA" w14:textId="77777777" w:rsidR="006C5AB5" w:rsidRPr="006C5AB5" w:rsidRDefault="006C5AB5" w:rsidP="006C5AB5">
            <w:pPr>
              <w:numPr>
                <w:ilvl w:val="0"/>
                <w:numId w:val="21"/>
              </w:numPr>
              <w:jc w:val="both"/>
              <w:rPr>
                <w:rFonts w:ascii="Arial" w:hAnsi="Arial" w:cs="Arial"/>
                <w:sz w:val="22"/>
                <w:szCs w:val="22"/>
              </w:rPr>
            </w:pPr>
            <w:r w:rsidRPr="006C5AB5">
              <w:rPr>
                <w:rFonts w:ascii="Arial" w:hAnsi="Arial" w:cs="Arial"/>
                <w:sz w:val="22"/>
                <w:szCs w:val="22"/>
              </w:rPr>
              <w:t>El juez manifiesta por escrito su impedimento, explicando la causal y los hechos que lo configuran.</w:t>
            </w:r>
          </w:p>
          <w:p w14:paraId="3FAD86D4" w14:textId="77777777" w:rsidR="006C5AB5" w:rsidRPr="006C5AB5" w:rsidRDefault="006C5AB5" w:rsidP="006C5AB5">
            <w:pPr>
              <w:numPr>
                <w:ilvl w:val="0"/>
                <w:numId w:val="21"/>
              </w:numPr>
              <w:jc w:val="both"/>
              <w:rPr>
                <w:rFonts w:ascii="Arial" w:hAnsi="Arial" w:cs="Arial"/>
                <w:sz w:val="22"/>
                <w:szCs w:val="22"/>
              </w:rPr>
            </w:pPr>
            <w:r w:rsidRPr="006C5AB5">
              <w:rPr>
                <w:rFonts w:ascii="Arial" w:hAnsi="Arial" w:cs="Arial"/>
                <w:sz w:val="22"/>
                <w:szCs w:val="22"/>
              </w:rPr>
              <w:t>El expediente se envia inmediatamente al juez o magistrado que debe conocer del impedimento (el superior jerárquico o el par en reparto).</w:t>
            </w:r>
          </w:p>
          <w:p w14:paraId="7F1A5A43" w14:textId="77777777" w:rsidR="006C5AB5" w:rsidRPr="006C5AB5" w:rsidRDefault="006C5AB5" w:rsidP="006C5AB5">
            <w:pPr>
              <w:numPr>
                <w:ilvl w:val="0"/>
                <w:numId w:val="21"/>
              </w:numPr>
              <w:jc w:val="both"/>
              <w:rPr>
                <w:rFonts w:ascii="Arial" w:hAnsi="Arial" w:cs="Arial"/>
                <w:sz w:val="22"/>
                <w:szCs w:val="22"/>
              </w:rPr>
            </w:pPr>
            <w:r w:rsidRPr="006C5AB5">
              <w:rPr>
                <w:rFonts w:ascii="Arial" w:hAnsi="Arial" w:cs="Arial"/>
                <w:sz w:val="22"/>
                <w:szCs w:val="22"/>
              </w:rPr>
              <w:t>El juez que recibe el expediente decide si el impedimento es fundado o no, SIN darle traslado a las partes.</w:t>
            </w:r>
          </w:p>
          <w:p w14:paraId="3105C815" w14:textId="77777777" w:rsidR="006C5AB5" w:rsidRPr="006C5AB5" w:rsidRDefault="006C5AB5" w:rsidP="006C5AB5">
            <w:pPr>
              <w:numPr>
                <w:ilvl w:val="0"/>
                <w:numId w:val="21"/>
              </w:numPr>
              <w:jc w:val="both"/>
              <w:rPr>
                <w:rFonts w:ascii="Arial" w:hAnsi="Arial" w:cs="Arial"/>
                <w:sz w:val="22"/>
                <w:szCs w:val="22"/>
              </w:rPr>
            </w:pPr>
            <w:r w:rsidRPr="006C5AB5">
              <w:rPr>
                <w:rFonts w:ascii="Arial" w:hAnsi="Arial" w:cs="Arial"/>
                <w:sz w:val="22"/>
                <w:szCs w:val="22"/>
              </w:rPr>
              <w:t>Si el impedimento es DECLARADO FUNDADO: el juez queda separado del proceso y el nuevo juez asume el conocimiento.</w:t>
            </w:r>
          </w:p>
          <w:p w14:paraId="45D99E54" w14:textId="77777777" w:rsidR="006C5AB5" w:rsidRPr="006C5AB5" w:rsidRDefault="006C5AB5" w:rsidP="006C5AB5">
            <w:pPr>
              <w:numPr>
                <w:ilvl w:val="0"/>
                <w:numId w:val="21"/>
              </w:numPr>
              <w:jc w:val="both"/>
              <w:rPr>
                <w:rFonts w:ascii="Arial" w:hAnsi="Arial" w:cs="Arial"/>
                <w:sz w:val="22"/>
                <w:szCs w:val="22"/>
              </w:rPr>
            </w:pPr>
            <w:r w:rsidRPr="006C5AB5">
              <w:rPr>
                <w:rFonts w:ascii="Arial" w:hAnsi="Arial" w:cs="Arial"/>
                <w:sz w:val="22"/>
                <w:szCs w:val="22"/>
              </w:rPr>
              <w:t>Si el impedimento es DECLARADO INFUNDADO: el expediente regresa al juez original, quien debe continuar con el proceso. Ademas, puede imponerse sanción al juez que declaro un impedimento infundado.</w:t>
            </w:r>
          </w:p>
        </w:tc>
      </w:tr>
    </w:tbl>
    <w:p w14:paraId="1B562B6F" w14:textId="77777777" w:rsidR="006C5AB5" w:rsidRPr="006C5AB5" w:rsidRDefault="006C5AB5" w:rsidP="006C5AB5">
      <w:pPr>
        <w:jc w:val="both"/>
        <w:rPr>
          <w:rFonts w:ascii="Arial" w:hAnsi="Arial" w:cs="Arial"/>
          <w:b/>
          <w:bCs/>
          <w:sz w:val="22"/>
          <w:szCs w:val="22"/>
          <w:u w:val="single"/>
        </w:rPr>
      </w:pPr>
    </w:p>
    <w:p w14:paraId="53CD0835" w14:textId="77777777" w:rsidR="006C5AB5" w:rsidRPr="006C5AB5" w:rsidRDefault="006C5AB5" w:rsidP="006C5AB5">
      <w:pPr>
        <w:jc w:val="both"/>
        <w:rPr>
          <w:rFonts w:ascii="Arial" w:hAnsi="Arial" w:cs="Arial"/>
          <w:sz w:val="22"/>
          <w:szCs w:val="22"/>
        </w:rPr>
      </w:pPr>
      <w:r w:rsidRPr="006C5AB5">
        <w:rPr>
          <w:rFonts w:ascii="Arial" w:hAnsi="Arial" w:cs="Arial"/>
          <w:b/>
          <w:bCs/>
          <w:sz w:val="22"/>
          <w:szCs w:val="22"/>
          <w:u w:val="single"/>
        </w:rPr>
        <w:t>3.2.4 La Recusación: Cuando el Juez No Se Aparta Solo</w:t>
      </w:r>
    </w:p>
    <w:p w14:paraId="7BC0ACA5" w14:textId="77777777" w:rsidR="006C5AB5" w:rsidRPr="006C5AB5" w:rsidRDefault="006C5AB5" w:rsidP="006C5AB5">
      <w:pPr>
        <w:jc w:val="both"/>
        <w:rPr>
          <w:rFonts w:ascii="Arial" w:hAnsi="Arial" w:cs="Arial"/>
          <w:sz w:val="22"/>
          <w:szCs w:val="22"/>
        </w:rPr>
      </w:pPr>
      <w:r w:rsidRPr="006C5AB5">
        <w:rPr>
          <w:rFonts w:ascii="Arial" w:hAnsi="Arial" w:cs="Arial"/>
          <w:sz w:val="22"/>
          <w:szCs w:val="22"/>
        </w:rPr>
        <w:t>La RECUSACIÓN es el mecanismo procesal que permite a las partes apartar de un proceso a un juez que esta incurso en causal de impedimento pero que no se ha separado voluntariamente del caso. Es la garantía de las partes frente a la omisión o renuencia del juez.</w:t>
      </w:r>
    </w:p>
    <w:p w14:paraId="29AC3C84" w14:textId="77777777" w:rsidR="006C5AB5" w:rsidRPr="006C5AB5" w:rsidRDefault="006C5AB5" w:rsidP="006C5AB5">
      <w:pPr>
        <w:jc w:val="both"/>
        <w:rPr>
          <w:rFonts w:ascii="Arial" w:hAnsi="Arial" w:cs="Arial"/>
          <w:sz w:val="22"/>
          <w:szCs w:val="22"/>
        </w:rPr>
      </w:pPr>
    </w:p>
    <w:tbl>
      <w:tblPr>
        <w:tblW w:w="0" w:type="auto"/>
        <w:tblCellMar>
          <w:top w:w="15" w:type="dxa"/>
          <w:left w:w="15" w:type="dxa"/>
          <w:bottom w:w="15" w:type="dxa"/>
          <w:right w:w="15" w:type="dxa"/>
        </w:tblCellMar>
        <w:tblLook w:val="04A0" w:firstRow="1" w:lastRow="0" w:firstColumn="1" w:lastColumn="0" w:noHBand="0" w:noVBand="1"/>
      </w:tblPr>
      <w:tblGrid>
        <w:gridCol w:w="8828"/>
      </w:tblGrid>
      <w:tr w:rsidR="006C5AB5" w:rsidRPr="006C5AB5" w14:paraId="5C5E2DE0"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D4EDDA"/>
            <w:tcMar>
              <w:top w:w="140" w:type="dxa"/>
              <w:left w:w="200" w:type="dxa"/>
              <w:bottom w:w="140" w:type="dxa"/>
              <w:right w:w="200" w:type="dxa"/>
            </w:tcMar>
            <w:hideMark/>
          </w:tcPr>
          <w:p w14:paraId="4F9A501F" w14:textId="77777777" w:rsidR="006C5AB5" w:rsidRPr="006C5AB5" w:rsidRDefault="006C5AB5" w:rsidP="00DD2DD5">
            <w:pPr>
              <w:jc w:val="both"/>
              <w:rPr>
                <w:rFonts w:ascii="Arial" w:hAnsi="Arial" w:cs="Arial"/>
                <w:sz w:val="22"/>
                <w:szCs w:val="22"/>
              </w:rPr>
            </w:pPr>
            <w:r w:rsidRPr="006C5AB5">
              <w:rPr>
                <w:rFonts w:ascii="Arial" w:hAnsi="Arial" w:cs="Arial"/>
                <w:b/>
                <w:bCs/>
                <w:sz w:val="22"/>
                <w:szCs w:val="22"/>
              </w:rPr>
              <w:t>TRAMITE DE LA RECUSACIÓN (Art. 142 CGP)</w:t>
            </w:r>
          </w:p>
          <w:p w14:paraId="6E0089A1" w14:textId="77777777" w:rsidR="006C5AB5" w:rsidRPr="006C5AB5" w:rsidRDefault="006C5AB5" w:rsidP="006C5AB5">
            <w:pPr>
              <w:numPr>
                <w:ilvl w:val="0"/>
                <w:numId w:val="22"/>
              </w:numPr>
              <w:jc w:val="both"/>
              <w:rPr>
                <w:rFonts w:ascii="Arial" w:hAnsi="Arial" w:cs="Arial"/>
                <w:sz w:val="22"/>
                <w:szCs w:val="22"/>
              </w:rPr>
            </w:pPr>
            <w:r w:rsidRPr="006C5AB5">
              <w:rPr>
                <w:rFonts w:ascii="Arial" w:hAnsi="Arial" w:cs="Arial"/>
                <w:sz w:val="22"/>
                <w:szCs w:val="22"/>
              </w:rPr>
              <w:t>La parte que la promueve presenta escrito indicando la causal y los hechos que la configuran.</w:t>
            </w:r>
          </w:p>
          <w:p w14:paraId="25ACD38F" w14:textId="77777777" w:rsidR="006C5AB5" w:rsidRPr="006C5AB5" w:rsidRDefault="006C5AB5" w:rsidP="006C5AB5">
            <w:pPr>
              <w:numPr>
                <w:ilvl w:val="0"/>
                <w:numId w:val="23"/>
              </w:numPr>
              <w:jc w:val="both"/>
              <w:rPr>
                <w:rFonts w:ascii="Arial" w:hAnsi="Arial" w:cs="Arial"/>
                <w:sz w:val="22"/>
                <w:szCs w:val="22"/>
              </w:rPr>
            </w:pPr>
            <w:r w:rsidRPr="006C5AB5">
              <w:rPr>
                <w:rFonts w:ascii="Arial" w:hAnsi="Arial" w:cs="Arial"/>
                <w:sz w:val="22"/>
                <w:szCs w:val="22"/>
              </w:rPr>
              <w:t>Se da traslado al juez recusado por el termino de tres dias para que se pronuncie.</w:t>
            </w:r>
          </w:p>
          <w:p w14:paraId="723CE857" w14:textId="77777777" w:rsidR="006C5AB5" w:rsidRPr="006C5AB5" w:rsidRDefault="006C5AB5" w:rsidP="006C5AB5">
            <w:pPr>
              <w:numPr>
                <w:ilvl w:val="0"/>
                <w:numId w:val="24"/>
              </w:numPr>
              <w:jc w:val="both"/>
              <w:rPr>
                <w:rFonts w:ascii="Arial" w:hAnsi="Arial" w:cs="Arial"/>
                <w:sz w:val="22"/>
                <w:szCs w:val="22"/>
              </w:rPr>
            </w:pPr>
            <w:r w:rsidRPr="006C5AB5">
              <w:rPr>
                <w:rFonts w:ascii="Arial" w:hAnsi="Arial" w:cs="Arial"/>
                <w:sz w:val="22"/>
                <w:szCs w:val="22"/>
              </w:rPr>
              <w:t>Si el juez ACEPTA la recusación: se sigue el mismo tramite del impedimento fundado. El juez queda separado.</w:t>
            </w:r>
          </w:p>
          <w:p w14:paraId="25AA582E" w14:textId="77777777" w:rsidR="006C5AB5" w:rsidRPr="006C5AB5" w:rsidRDefault="006C5AB5" w:rsidP="006C5AB5">
            <w:pPr>
              <w:numPr>
                <w:ilvl w:val="0"/>
                <w:numId w:val="25"/>
              </w:numPr>
              <w:jc w:val="both"/>
              <w:rPr>
                <w:rFonts w:ascii="Arial" w:hAnsi="Arial" w:cs="Arial"/>
                <w:sz w:val="22"/>
                <w:szCs w:val="22"/>
              </w:rPr>
            </w:pPr>
            <w:r w:rsidRPr="006C5AB5">
              <w:rPr>
                <w:rFonts w:ascii="Arial" w:hAnsi="Arial" w:cs="Arial"/>
                <w:sz w:val="22"/>
                <w:szCs w:val="22"/>
              </w:rPr>
              <w:t>Si el juez NIEGA la recusación: el expediente se envia al superior jerárquico para que decida.</w:t>
            </w:r>
          </w:p>
          <w:p w14:paraId="130598E2" w14:textId="77777777" w:rsidR="006C5AB5" w:rsidRPr="006C5AB5" w:rsidRDefault="006C5AB5" w:rsidP="006C5AB5">
            <w:pPr>
              <w:numPr>
                <w:ilvl w:val="0"/>
                <w:numId w:val="26"/>
              </w:numPr>
              <w:jc w:val="both"/>
              <w:rPr>
                <w:rFonts w:ascii="Arial" w:hAnsi="Arial" w:cs="Arial"/>
                <w:sz w:val="22"/>
                <w:szCs w:val="22"/>
              </w:rPr>
            </w:pPr>
            <w:r w:rsidRPr="006C5AB5">
              <w:rPr>
                <w:rFonts w:ascii="Arial" w:hAnsi="Arial" w:cs="Arial"/>
                <w:sz w:val="22"/>
                <w:szCs w:val="22"/>
              </w:rPr>
              <w:t>Si el superior decide que la recusación ES PROCEDENTE: el juez queda separado. Si decide que NO, el proceso regresa al juez original y se puede sancionar al recusante si actuó de mala fe.</w:t>
            </w:r>
          </w:p>
          <w:p w14:paraId="58C6C41B" w14:textId="77777777" w:rsidR="006C5AB5" w:rsidRPr="006C5AB5" w:rsidRDefault="006C5AB5" w:rsidP="006C5AB5">
            <w:pPr>
              <w:numPr>
                <w:ilvl w:val="0"/>
                <w:numId w:val="27"/>
              </w:numPr>
              <w:jc w:val="both"/>
              <w:rPr>
                <w:rFonts w:ascii="Arial" w:hAnsi="Arial" w:cs="Arial"/>
                <w:sz w:val="22"/>
                <w:szCs w:val="22"/>
              </w:rPr>
            </w:pPr>
            <w:r w:rsidRPr="006C5AB5">
              <w:rPr>
                <w:rFonts w:ascii="Arial" w:hAnsi="Arial" w:cs="Arial"/>
                <w:sz w:val="22"/>
                <w:szCs w:val="22"/>
              </w:rPr>
              <w:t>LIMITE: Solo se puede recusar UNA VEZ por causal. No se puede recusar al mismo juez dos veces por la misma causal.</w:t>
            </w:r>
          </w:p>
        </w:tc>
      </w:tr>
    </w:tbl>
    <w:p w14:paraId="2412E410" w14:textId="77777777" w:rsidR="006C5AB5" w:rsidRPr="006C5AB5" w:rsidRDefault="006C5AB5" w:rsidP="006C5AB5">
      <w:pPr>
        <w:jc w:val="both"/>
        <w:rPr>
          <w:rFonts w:ascii="Arial" w:hAnsi="Arial" w:cs="Arial"/>
          <w:b/>
          <w:bCs/>
          <w:sz w:val="22"/>
          <w:szCs w:val="22"/>
        </w:rPr>
      </w:pPr>
    </w:p>
    <w:p w14:paraId="03C3ECB1" w14:textId="77777777" w:rsidR="006C5AB5" w:rsidRPr="006C5AB5" w:rsidRDefault="006C5AB5" w:rsidP="006C5AB5">
      <w:pPr>
        <w:jc w:val="both"/>
        <w:rPr>
          <w:rFonts w:ascii="Arial" w:hAnsi="Arial" w:cs="Arial"/>
          <w:b/>
          <w:bCs/>
          <w:sz w:val="22"/>
          <w:szCs w:val="22"/>
        </w:rPr>
      </w:pPr>
      <w:r w:rsidRPr="006C5AB5">
        <w:rPr>
          <w:rFonts w:ascii="Arial" w:hAnsi="Arial" w:cs="Arial"/>
          <w:b/>
          <w:bCs/>
          <w:sz w:val="22"/>
          <w:szCs w:val="22"/>
        </w:rPr>
        <w:t>CAPSULA 3.3</w:t>
      </w:r>
    </w:p>
    <w:p w14:paraId="0E5C0298" w14:textId="77777777" w:rsidR="006C5AB5" w:rsidRPr="006C5AB5" w:rsidRDefault="006C5AB5" w:rsidP="006C5AB5">
      <w:pPr>
        <w:jc w:val="both"/>
        <w:rPr>
          <w:rFonts w:ascii="Arial" w:hAnsi="Arial" w:cs="Arial"/>
          <w:b/>
          <w:bCs/>
          <w:sz w:val="22"/>
          <w:szCs w:val="22"/>
        </w:rPr>
      </w:pPr>
      <w:r w:rsidRPr="006C5AB5">
        <w:rPr>
          <w:rFonts w:ascii="Arial" w:hAnsi="Arial" w:cs="Arial"/>
          <w:b/>
          <w:bCs/>
          <w:sz w:val="22"/>
          <w:szCs w:val="22"/>
        </w:rPr>
        <w:lastRenderedPageBreak/>
        <w:t>CAPACIDAD PARA SER PARTE Y CAPACIDAD PROCESAL</w:t>
      </w:r>
    </w:p>
    <w:p w14:paraId="7ADC2ED9" w14:textId="77777777" w:rsidR="006C5AB5" w:rsidRPr="006C5AB5" w:rsidRDefault="006C5AB5" w:rsidP="006C5AB5">
      <w:pPr>
        <w:jc w:val="both"/>
        <w:rPr>
          <w:rFonts w:ascii="Arial" w:hAnsi="Arial" w:cs="Arial"/>
          <w:b/>
          <w:bCs/>
          <w:sz w:val="22"/>
          <w:szCs w:val="22"/>
          <w:u w:val="single"/>
        </w:rPr>
      </w:pPr>
    </w:p>
    <w:p w14:paraId="6BFE2C6C" w14:textId="77777777" w:rsidR="006C5AB5" w:rsidRPr="006C5AB5" w:rsidRDefault="006C5AB5" w:rsidP="006C5AB5">
      <w:pPr>
        <w:jc w:val="both"/>
        <w:rPr>
          <w:rFonts w:ascii="Arial" w:hAnsi="Arial" w:cs="Arial"/>
          <w:sz w:val="22"/>
          <w:szCs w:val="22"/>
        </w:rPr>
      </w:pPr>
      <w:r w:rsidRPr="006C5AB5">
        <w:rPr>
          <w:rFonts w:ascii="Arial" w:hAnsi="Arial" w:cs="Arial"/>
          <w:b/>
          <w:bCs/>
          <w:sz w:val="22"/>
          <w:szCs w:val="22"/>
          <w:u w:val="single"/>
        </w:rPr>
        <w:t>3.3.1 Las Dos Grandes Capacidades Procesales</w:t>
      </w:r>
    </w:p>
    <w:p w14:paraId="10FB132A" w14:textId="77777777" w:rsidR="006C5AB5" w:rsidRPr="006C5AB5" w:rsidRDefault="006C5AB5" w:rsidP="006C5AB5">
      <w:pPr>
        <w:jc w:val="both"/>
        <w:rPr>
          <w:rFonts w:ascii="Arial" w:hAnsi="Arial" w:cs="Arial"/>
          <w:sz w:val="22"/>
          <w:szCs w:val="22"/>
        </w:rPr>
      </w:pPr>
      <w:r w:rsidRPr="006C5AB5">
        <w:rPr>
          <w:rFonts w:ascii="Arial" w:hAnsi="Arial" w:cs="Arial"/>
          <w:sz w:val="22"/>
          <w:szCs w:val="22"/>
        </w:rPr>
        <w:t>Para participar válidamente en un proceso civil existen dos tipos de capacidad que debemos distinguir con precisión, pues la confusión entre ellas es uno de los errores más frecuentes de los estudiantes de Derecho:</w:t>
      </w:r>
    </w:p>
    <w:p w14:paraId="0B1AE357" w14:textId="77777777" w:rsidR="006C5AB5" w:rsidRPr="006C5AB5" w:rsidRDefault="006C5AB5" w:rsidP="006C5AB5">
      <w:pPr>
        <w:jc w:val="both"/>
        <w:rPr>
          <w:rFonts w:ascii="Arial" w:hAnsi="Arial" w:cs="Arial"/>
          <w:sz w:val="22"/>
          <w:szCs w:val="22"/>
        </w:rPr>
      </w:pPr>
    </w:p>
    <w:tbl>
      <w:tblPr>
        <w:tblW w:w="0" w:type="auto"/>
        <w:tblCellMar>
          <w:top w:w="15" w:type="dxa"/>
          <w:left w:w="15" w:type="dxa"/>
          <w:bottom w:w="15" w:type="dxa"/>
          <w:right w:w="15" w:type="dxa"/>
        </w:tblCellMar>
        <w:tblLook w:val="04A0" w:firstRow="1" w:lastRow="0" w:firstColumn="1" w:lastColumn="0" w:noHBand="0" w:noVBand="1"/>
      </w:tblPr>
      <w:tblGrid>
        <w:gridCol w:w="1888"/>
        <w:gridCol w:w="2629"/>
        <w:gridCol w:w="2173"/>
        <w:gridCol w:w="2138"/>
      </w:tblGrid>
      <w:tr w:rsidR="006C5AB5" w:rsidRPr="006C5AB5" w14:paraId="3AF8570C"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2190331C" w14:textId="77777777" w:rsidR="006C5AB5" w:rsidRPr="006C5AB5" w:rsidRDefault="006C5AB5" w:rsidP="00DD2DD5">
            <w:pPr>
              <w:jc w:val="both"/>
              <w:rPr>
                <w:rFonts w:ascii="Arial" w:hAnsi="Arial" w:cs="Arial"/>
                <w:sz w:val="22"/>
                <w:szCs w:val="22"/>
              </w:rPr>
            </w:pPr>
            <w:r w:rsidRPr="006C5AB5">
              <w:rPr>
                <w:rFonts w:ascii="Arial" w:hAnsi="Arial" w:cs="Arial"/>
                <w:b/>
                <w:bCs/>
                <w:sz w:val="22"/>
                <w:szCs w:val="22"/>
              </w:rPr>
              <w:t>CAPACIDAD</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34057CFC" w14:textId="77777777" w:rsidR="006C5AB5" w:rsidRPr="006C5AB5" w:rsidRDefault="006C5AB5" w:rsidP="00DD2DD5">
            <w:pPr>
              <w:jc w:val="both"/>
              <w:rPr>
                <w:rFonts w:ascii="Arial" w:hAnsi="Arial" w:cs="Arial"/>
                <w:sz w:val="22"/>
                <w:szCs w:val="22"/>
              </w:rPr>
            </w:pPr>
            <w:r w:rsidRPr="006C5AB5">
              <w:rPr>
                <w:rFonts w:ascii="Arial" w:hAnsi="Arial" w:cs="Arial"/>
                <w:b/>
                <w:bCs/>
                <w:sz w:val="22"/>
                <w:szCs w:val="22"/>
              </w:rPr>
              <w:t>DEFINICIÓN</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519891C8" w14:textId="77777777" w:rsidR="006C5AB5" w:rsidRPr="006C5AB5" w:rsidRDefault="006C5AB5" w:rsidP="00DD2DD5">
            <w:pPr>
              <w:jc w:val="both"/>
              <w:rPr>
                <w:rFonts w:ascii="Arial" w:hAnsi="Arial" w:cs="Arial"/>
                <w:sz w:val="22"/>
                <w:szCs w:val="22"/>
              </w:rPr>
            </w:pPr>
            <w:r w:rsidRPr="006C5AB5">
              <w:rPr>
                <w:rFonts w:ascii="Arial" w:hAnsi="Arial" w:cs="Arial"/>
                <w:b/>
                <w:bCs/>
                <w:sz w:val="22"/>
                <w:szCs w:val="22"/>
              </w:rPr>
              <w:t>ANALOGÍA</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651D955F" w14:textId="77777777" w:rsidR="006C5AB5" w:rsidRPr="006C5AB5" w:rsidRDefault="006C5AB5" w:rsidP="00DD2DD5">
            <w:pPr>
              <w:jc w:val="both"/>
              <w:rPr>
                <w:rFonts w:ascii="Arial" w:hAnsi="Arial" w:cs="Arial"/>
                <w:sz w:val="22"/>
                <w:szCs w:val="22"/>
              </w:rPr>
            </w:pPr>
            <w:r w:rsidRPr="006C5AB5">
              <w:rPr>
                <w:rFonts w:ascii="Arial" w:hAnsi="Arial" w:cs="Arial"/>
                <w:b/>
                <w:bCs/>
                <w:sz w:val="22"/>
                <w:szCs w:val="22"/>
              </w:rPr>
              <w:t>QUIEN LA TIENE</w:t>
            </w:r>
          </w:p>
        </w:tc>
      </w:tr>
      <w:tr w:rsidR="006C5AB5" w:rsidRPr="006C5AB5" w14:paraId="57F1D8C0"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643032A9"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CAPACIDAD PARA SER PARTE</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28146C4A"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Es la aptitud para ser titular de derechos y obligaciones procesales. Para ser sujeto del proceso.</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328B2621"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Como la capacidad de goce civil: tenerla no implica poder ejercerla.</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1F429243"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Toda persona: naturales (desde el nacimiento, e incluso el nasciturus) y jurídicas (desde su constitución legal).</w:t>
            </w:r>
          </w:p>
        </w:tc>
      </w:tr>
      <w:tr w:rsidR="006C5AB5" w:rsidRPr="006C5AB5" w14:paraId="108AE83E"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7415115E"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CAPACIDAD PROCESAL (Legitimario Ad Procesan)</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67483842"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Es la aptitud para actuar DIRECTAMENTE en el proceso, por sí mismo, sin necesidad de representante.</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58A33895"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Como la capacidad de ejercicio civil: poder actuar personalmente.</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08BE8898"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Solo las personas con plena capacidad: mayores de 18 años no interdictos.</w:t>
            </w:r>
          </w:p>
        </w:tc>
      </w:tr>
    </w:tbl>
    <w:p w14:paraId="3BFC4EC4" w14:textId="77777777" w:rsidR="006C5AB5" w:rsidRPr="006C5AB5" w:rsidRDefault="006C5AB5" w:rsidP="006C5AB5">
      <w:pPr>
        <w:jc w:val="both"/>
        <w:rPr>
          <w:rFonts w:ascii="Arial" w:hAnsi="Arial" w:cs="Arial"/>
          <w:sz w:val="22"/>
          <w:szCs w:val="22"/>
        </w:rPr>
      </w:pPr>
    </w:p>
    <w:p w14:paraId="5966908A" w14:textId="77777777" w:rsidR="006C5AB5" w:rsidRPr="006C5AB5" w:rsidRDefault="006C5AB5" w:rsidP="006C5AB5">
      <w:pPr>
        <w:jc w:val="both"/>
        <w:rPr>
          <w:rFonts w:ascii="Arial" w:hAnsi="Arial" w:cs="Arial"/>
          <w:sz w:val="22"/>
          <w:szCs w:val="22"/>
        </w:rPr>
      </w:pPr>
      <w:r w:rsidRPr="006C5AB5">
        <w:rPr>
          <w:rFonts w:ascii="Arial" w:hAnsi="Arial" w:cs="Arial"/>
          <w:b/>
          <w:bCs/>
          <w:sz w:val="22"/>
          <w:szCs w:val="22"/>
          <w:u w:val="single"/>
        </w:rPr>
        <w:t>3.3.2 Quienes Carecen de Capacidad Procesal (Art. 53 CGP)</w:t>
      </w:r>
    </w:p>
    <w:p w14:paraId="4EC3E815" w14:textId="77777777" w:rsidR="006C5AB5" w:rsidRPr="006C5AB5" w:rsidRDefault="006C5AB5" w:rsidP="006C5AB5">
      <w:pPr>
        <w:jc w:val="both"/>
        <w:rPr>
          <w:rFonts w:ascii="Arial" w:hAnsi="Arial" w:cs="Arial"/>
          <w:sz w:val="22"/>
          <w:szCs w:val="22"/>
        </w:rPr>
      </w:pPr>
      <w:r w:rsidRPr="006C5AB5">
        <w:rPr>
          <w:rFonts w:ascii="Arial" w:hAnsi="Arial" w:cs="Arial"/>
          <w:sz w:val="22"/>
          <w:szCs w:val="22"/>
        </w:rPr>
        <w:t>Las personas que tienen capacidad para ser parte (son titulares de derechos) pero carecen de capacidad procesal (no pueden actuar por sí mismas) deben comparecer AL PROCESO A TRAVÉS DE UN REPRESENTANTE. Estas son:</w:t>
      </w:r>
    </w:p>
    <w:p w14:paraId="4CAB4153" w14:textId="77777777" w:rsidR="006C5AB5" w:rsidRPr="006C5AB5" w:rsidRDefault="006C5AB5" w:rsidP="006C5AB5">
      <w:pPr>
        <w:numPr>
          <w:ilvl w:val="0"/>
          <w:numId w:val="28"/>
        </w:numPr>
        <w:jc w:val="both"/>
        <w:rPr>
          <w:rFonts w:ascii="Arial" w:hAnsi="Arial" w:cs="Arial"/>
          <w:sz w:val="22"/>
          <w:szCs w:val="22"/>
        </w:rPr>
      </w:pPr>
      <w:r w:rsidRPr="006C5AB5">
        <w:rPr>
          <w:rFonts w:ascii="Arial" w:hAnsi="Arial" w:cs="Arial"/>
          <w:sz w:val="22"/>
          <w:szCs w:val="22"/>
        </w:rPr>
        <w:t>Los MENORES DE EDAD (menores de 18 años): actúan a través de sus representantes legales (padres o quien tenga la patria potestad, o guardadores). Art. 53 CGP.</w:t>
      </w:r>
    </w:p>
    <w:p w14:paraId="60F5E2DE" w14:textId="77777777" w:rsidR="006C5AB5" w:rsidRPr="006C5AB5" w:rsidRDefault="006C5AB5" w:rsidP="006C5AB5">
      <w:pPr>
        <w:numPr>
          <w:ilvl w:val="0"/>
          <w:numId w:val="28"/>
        </w:numPr>
        <w:jc w:val="both"/>
        <w:rPr>
          <w:rFonts w:ascii="Arial" w:hAnsi="Arial" w:cs="Arial"/>
          <w:sz w:val="22"/>
          <w:szCs w:val="22"/>
        </w:rPr>
      </w:pPr>
      <w:r w:rsidRPr="006C5AB5">
        <w:rPr>
          <w:rFonts w:ascii="Arial" w:hAnsi="Arial" w:cs="Arial"/>
          <w:sz w:val="22"/>
          <w:szCs w:val="22"/>
        </w:rPr>
        <w:t>Las personas declaradas en INTERDICCIÓN JUDICIAL (incapaces absolutos): actúan a través de su curador. Arts. 545 y ss. Código Civil.</w:t>
      </w:r>
    </w:p>
    <w:p w14:paraId="540D570F" w14:textId="77777777" w:rsidR="006C5AB5" w:rsidRPr="006C5AB5" w:rsidRDefault="006C5AB5" w:rsidP="006C5AB5">
      <w:pPr>
        <w:numPr>
          <w:ilvl w:val="0"/>
          <w:numId w:val="28"/>
        </w:numPr>
        <w:jc w:val="both"/>
        <w:rPr>
          <w:rFonts w:ascii="Arial" w:hAnsi="Arial" w:cs="Arial"/>
          <w:sz w:val="22"/>
          <w:szCs w:val="22"/>
        </w:rPr>
      </w:pPr>
      <w:r w:rsidRPr="006C5AB5">
        <w:rPr>
          <w:rFonts w:ascii="Arial" w:hAnsi="Arial" w:cs="Arial"/>
          <w:sz w:val="22"/>
          <w:szCs w:val="22"/>
        </w:rPr>
        <w:t>Las personas jurídicas (sociedades, fundaciones, asociaciones): actúan a través de sus representantes legales (gerente, presidente, director). Art. 53 CGP.</w:t>
      </w:r>
    </w:p>
    <w:p w14:paraId="1ED1B052" w14:textId="77777777" w:rsidR="006C5AB5" w:rsidRPr="006C5AB5" w:rsidRDefault="006C5AB5" w:rsidP="006C5AB5">
      <w:pPr>
        <w:numPr>
          <w:ilvl w:val="0"/>
          <w:numId w:val="28"/>
        </w:numPr>
        <w:jc w:val="both"/>
        <w:rPr>
          <w:rFonts w:ascii="Arial" w:hAnsi="Arial" w:cs="Arial"/>
          <w:sz w:val="22"/>
          <w:szCs w:val="22"/>
        </w:rPr>
      </w:pPr>
      <w:r w:rsidRPr="006C5AB5">
        <w:rPr>
          <w:rFonts w:ascii="Arial" w:hAnsi="Arial" w:cs="Arial"/>
          <w:sz w:val="22"/>
          <w:szCs w:val="22"/>
        </w:rPr>
        <w:t>Los CONCORDATARIOS y fallidos: actúan a través del síndico o liquidador designado.</w:t>
      </w:r>
    </w:p>
    <w:p w14:paraId="6D65F368" w14:textId="77777777" w:rsidR="006C5AB5" w:rsidRPr="006C5AB5" w:rsidRDefault="006C5AB5" w:rsidP="006C5AB5">
      <w:pPr>
        <w:numPr>
          <w:ilvl w:val="0"/>
          <w:numId w:val="28"/>
        </w:numPr>
        <w:jc w:val="both"/>
        <w:rPr>
          <w:rFonts w:ascii="Arial" w:hAnsi="Arial" w:cs="Arial"/>
          <w:sz w:val="22"/>
          <w:szCs w:val="22"/>
        </w:rPr>
      </w:pPr>
      <w:r w:rsidRPr="006C5AB5">
        <w:rPr>
          <w:rFonts w:ascii="Arial" w:hAnsi="Arial" w:cs="Arial"/>
          <w:sz w:val="22"/>
          <w:szCs w:val="22"/>
        </w:rPr>
        <w:t>Los AUSENTES o personas cuyo paradero se desconoce: actúan a través de curador ad liten designado por el juez. Art. 55 CGP.</w:t>
      </w:r>
    </w:p>
    <w:p w14:paraId="7B37D0C4" w14:textId="77777777" w:rsidR="006C5AB5" w:rsidRPr="006C5AB5" w:rsidRDefault="006C5AB5" w:rsidP="006C5AB5">
      <w:pPr>
        <w:numPr>
          <w:ilvl w:val="0"/>
          <w:numId w:val="28"/>
        </w:numPr>
        <w:jc w:val="both"/>
        <w:rPr>
          <w:rFonts w:ascii="Arial" w:hAnsi="Arial" w:cs="Arial"/>
          <w:sz w:val="22"/>
          <w:szCs w:val="22"/>
        </w:rPr>
      </w:pPr>
      <w:r w:rsidRPr="006C5AB5">
        <w:rPr>
          <w:rFonts w:ascii="Arial" w:hAnsi="Arial" w:cs="Arial"/>
          <w:sz w:val="22"/>
          <w:szCs w:val="22"/>
        </w:rPr>
        <w:t>Los PATRIMONIOS AUTÓNOMOS (fideicomisos): actúan a través de la sociedad fiduciaria.</w:t>
      </w:r>
    </w:p>
    <w:p w14:paraId="2750F64D" w14:textId="77777777" w:rsidR="006C5AB5" w:rsidRPr="006C5AB5" w:rsidRDefault="006C5AB5" w:rsidP="006C5AB5">
      <w:pPr>
        <w:ind w:left="720"/>
        <w:jc w:val="both"/>
        <w:rPr>
          <w:rFonts w:ascii="Arial" w:hAnsi="Arial" w:cs="Arial"/>
          <w:sz w:val="22"/>
          <w:szCs w:val="22"/>
        </w:rPr>
      </w:pPr>
    </w:p>
    <w:p w14:paraId="6805AEA1" w14:textId="77777777" w:rsidR="006C5AB5" w:rsidRPr="006C5AB5" w:rsidRDefault="006C5AB5" w:rsidP="006C5AB5">
      <w:pPr>
        <w:jc w:val="both"/>
        <w:rPr>
          <w:rFonts w:ascii="Arial" w:hAnsi="Arial" w:cs="Arial"/>
          <w:sz w:val="22"/>
          <w:szCs w:val="22"/>
        </w:rPr>
      </w:pPr>
      <w:r w:rsidRPr="006C5AB5">
        <w:rPr>
          <w:rFonts w:ascii="Arial" w:hAnsi="Arial" w:cs="Arial"/>
          <w:b/>
          <w:bCs/>
          <w:sz w:val="22"/>
          <w:szCs w:val="22"/>
          <w:u w:val="single"/>
        </w:rPr>
        <w:t>3.3.3 La Representación Legal vs. La Representación Judicial</w:t>
      </w:r>
    </w:p>
    <w:p w14:paraId="3D093B58" w14:textId="77777777" w:rsidR="006C5AB5" w:rsidRPr="006C5AB5" w:rsidRDefault="006C5AB5" w:rsidP="006C5AB5">
      <w:pPr>
        <w:jc w:val="both"/>
        <w:rPr>
          <w:rFonts w:ascii="Arial" w:hAnsi="Arial" w:cs="Arial"/>
          <w:sz w:val="22"/>
          <w:szCs w:val="22"/>
        </w:rPr>
      </w:pPr>
      <w:r w:rsidRPr="006C5AB5">
        <w:rPr>
          <w:rFonts w:ascii="Arial" w:hAnsi="Arial" w:cs="Arial"/>
          <w:sz w:val="22"/>
          <w:szCs w:val="22"/>
        </w:rPr>
        <w:t>Es fundamental distinguir dos tipos de representación que frecuentemente se confunden:</w:t>
      </w:r>
    </w:p>
    <w:p w14:paraId="2636652E" w14:textId="77777777" w:rsidR="006C5AB5" w:rsidRPr="006C5AB5" w:rsidRDefault="006C5AB5" w:rsidP="006C5AB5">
      <w:pPr>
        <w:jc w:val="both"/>
        <w:rPr>
          <w:rFonts w:ascii="Arial" w:hAnsi="Arial" w:cs="Arial"/>
          <w:sz w:val="22"/>
          <w:szCs w:val="22"/>
        </w:rPr>
      </w:pPr>
    </w:p>
    <w:tbl>
      <w:tblPr>
        <w:tblW w:w="0" w:type="auto"/>
        <w:tblCellMar>
          <w:top w:w="15" w:type="dxa"/>
          <w:left w:w="15" w:type="dxa"/>
          <w:bottom w:w="15" w:type="dxa"/>
          <w:right w:w="15" w:type="dxa"/>
        </w:tblCellMar>
        <w:tblLook w:val="04A0" w:firstRow="1" w:lastRow="0" w:firstColumn="1" w:lastColumn="0" w:noHBand="0" w:noVBand="1"/>
      </w:tblPr>
      <w:tblGrid>
        <w:gridCol w:w="8828"/>
      </w:tblGrid>
      <w:tr w:rsidR="006C5AB5" w:rsidRPr="006C5AB5" w14:paraId="518B5727"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D0E8F7"/>
            <w:tcMar>
              <w:top w:w="140" w:type="dxa"/>
              <w:left w:w="200" w:type="dxa"/>
              <w:bottom w:w="140" w:type="dxa"/>
              <w:right w:w="200" w:type="dxa"/>
            </w:tcMar>
            <w:hideMark/>
          </w:tcPr>
          <w:p w14:paraId="0FD450C2" w14:textId="77777777" w:rsidR="006C5AB5" w:rsidRPr="006C5AB5" w:rsidRDefault="006C5AB5" w:rsidP="00DD2DD5">
            <w:pPr>
              <w:jc w:val="both"/>
              <w:rPr>
                <w:rFonts w:ascii="Arial" w:hAnsi="Arial" w:cs="Arial"/>
                <w:sz w:val="22"/>
                <w:szCs w:val="22"/>
              </w:rPr>
            </w:pPr>
            <w:r w:rsidRPr="006C5AB5">
              <w:rPr>
                <w:rFonts w:ascii="Arial" w:hAnsi="Arial" w:cs="Arial"/>
                <w:b/>
                <w:bCs/>
                <w:sz w:val="22"/>
                <w:szCs w:val="22"/>
              </w:rPr>
              <w:t>REPRESENTACIÓN LEGAL vs. REPRESENTACIÓN JUDICIAL</w:t>
            </w:r>
          </w:p>
          <w:p w14:paraId="5F2ADB0C" w14:textId="77777777" w:rsidR="006C5AB5" w:rsidRPr="006C5AB5" w:rsidRDefault="006C5AB5" w:rsidP="00DD2DD5">
            <w:pPr>
              <w:jc w:val="both"/>
              <w:rPr>
                <w:rFonts w:ascii="Arial" w:hAnsi="Arial" w:cs="Arial"/>
                <w:sz w:val="22"/>
                <w:szCs w:val="22"/>
              </w:rPr>
            </w:pPr>
            <w:r w:rsidRPr="006C5AB5">
              <w:rPr>
                <w:rFonts w:ascii="Arial" w:hAnsi="Arial" w:cs="Arial"/>
                <w:b/>
                <w:bCs/>
                <w:sz w:val="22"/>
                <w:szCs w:val="22"/>
              </w:rPr>
              <w:t xml:space="preserve">REPRESENTACIÓN LEGAL: </w:t>
            </w:r>
            <w:r w:rsidRPr="006C5AB5">
              <w:rPr>
                <w:rFonts w:ascii="Arial" w:hAnsi="Arial" w:cs="Arial"/>
                <w:sz w:val="22"/>
                <w:szCs w:val="22"/>
              </w:rPr>
              <w:t>Es la que surge de la ley para quienes carecen de capacidad procesal. El padre representa al menor; el gerente representa a la sociedad. Sin representante legal, el proceso no puede iniciarse válidamente.</w:t>
            </w:r>
          </w:p>
          <w:p w14:paraId="0A223A86" w14:textId="77777777" w:rsidR="006C5AB5" w:rsidRPr="006C5AB5" w:rsidRDefault="006C5AB5" w:rsidP="00DD2DD5">
            <w:pPr>
              <w:jc w:val="both"/>
              <w:rPr>
                <w:rFonts w:ascii="Arial" w:hAnsi="Arial" w:cs="Arial"/>
                <w:sz w:val="22"/>
                <w:szCs w:val="22"/>
              </w:rPr>
            </w:pPr>
            <w:r w:rsidRPr="006C5AB5">
              <w:rPr>
                <w:rFonts w:ascii="Arial" w:hAnsi="Arial" w:cs="Arial"/>
                <w:b/>
                <w:bCs/>
                <w:sz w:val="22"/>
                <w:szCs w:val="22"/>
              </w:rPr>
              <w:lastRenderedPageBreak/>
              <w:t xml:space="preserve">REPRESENTACIÓN JUDICIAL (Mandato): </w:t>
            </w:r>
            <w:r w:rsidRPr="006C5AB5">
              <w:rPr>
                <w:rFonts w:ascii="Arial" w:hAnsi="Arial" w:cs="Arial"/>
                <w:sz w:val="22"/>
                <w:szCs w:val="22"/>
              </w:rPr>
              <w:t>Es la que surge del contrato de mandato: el cliente le otorga un poder a su abogado para que lo represente en el proceso. Este es el 'apoderado judicial'. Es adicional a la representación legal; el padre puede demandar directamente O puede conferirle poder a un abogado para que demande en su nombre y en nombre del menor.</w:t>
            </w:r>
          </w:p>
          <w:p w14:paraId="5E2BCE04"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CUIDADO: En Colombia, la capacidad procesal no es lo mismo que el derecho de postulación. Una persona mayor de edad con plena capacidad procesal puede actuar en ciertos procesos sin abogado (como en los procesos verbales sumarios de minima cuantia). Pero en la mayoría de procesos el CGP exige la intervención de abogado titulado.</w:t>
            </w:r>
          </w:p>
        </w:tc>
      </w:tr>
    </w:tbl>
    <w:p w14:paraId="699B5BFE" w14:textId="77777777" w:rsidR="006C5AB5" w:rsidRPr="006C5AB5" w:rsidRDefault="006C5AB5" w:rsidP="006C5AB5">
      <w:pPr>
        <w:jc w:val="both"/>
        <w:rPr>
          <w:rFonts w:ascii="Arial" w:hAnsi="Arial" w:cs="Arial"/>
          <w:sz w:val="22"/>
          <w:szCs w:val="22"/>
        </w:rPr>
      </w:pPr>
    </w:p>
    <w:p w14:paraId="0824FD89" w14:textId="77777777" w:rsidR="006C5AB5" w:rsidRPr="006C5AB5" w:rsidRDefault="006C5AB5" w:rsidP="006C5AB5">
      <w:pPr>
        <w:jc w:val="both"/>
        <w:rPr>
          <w:rFonts w:ascii="Arial" w:hAnsi="Arial" w:cs="Arial"/>
          <w:sz w:val="22"/>
          <w:szCs w:val="22"/>
        </w:rPr>
      </w:pPr>
      <w:r w:rsidRPr="006C5AB5">
        <w:rPr>
          <w:rFonts w:ascii="Arial" w:hAnsi="Arial" w:cs="Arial"/>
          <w:b/>
          <w:bCs/>
          <w:sz w:val="22"/>
          <w:szCs w:val="22"/>
          <w:u w:val="single"/>
        </w:rPr>
        <w:t>3.3.4 La Legitimación en la Causa: Una Condición Distinta</w:t>
      </w:r>
    </w:p>
    <w:p w14:paraId="0E1F3795" w14:textId="77777777" w:rsidR="006C5AB5" w:rsidRPr="006C5AB5" w:rsidRDefault="006C5AB5" w:rsidP="006C5AB5">
      <w:pPr>
        <w:jc w:val="both"/>
        <w:rPr>
          <w:rFonts w:ascii="Arial" w:hAnsi="Arial" w:cs="Arial"/>
          <w:sz w:val="22"/>
          <w:szCs w:val="22"/>
        </w:rPr>
      </w:pPr>
      <w:r w:rsidRPr="006C5AB5">
        <w:rPr>
          <w:rFonts w:ascii="Arial" w:hAnsi="Arial" w:cs="Arial"/>
          <w:sz w:val="22"/>
          <w:szCs w:val="22"/>
        </w:rPr>
        <w:t>Ademas de la capacidad para ser parte y la capacidad procesal, existe una tercera categoría que completa el cuadro: la LEGITIMACIÓN EN LA CAUSA (legitimario ad causan). Esta no es una cuestión de quien puede participar en el proceso, sino de quien debe ser el demandante y el demandado en ese proceso especifico.</w:t>
      </w:r>
    </w:p>
    <w:p w14:paraId="5EA3F531" w14:textId="77777777" w:rsidR="006C5AB5" w:rsidRPr="006C5AB5" w:rsidRDefault="006C5AB5" w:rsidP="006C5AB5">
      <w:pPr>
        <w:jc w:val="both"/>
        <w:rPr>
          <w:rFonts w:ascii="Arial" w:hAnsi="Arial" w:cs="Arial"/>
          <w:sz w:val="22"/>
          <w:szCs w:val="22"/>
        </w:rPr>
      </w:pPr>
    </w:p>
    <w:p w14:paraId="53023D21" w14:textId="77777777" w:rsidR="006C5AB5" w:rsidRPr="006C5AB5" w:rsidRDefault="006C5AB5" w:rsidP="006C5AB5">
      <w:pPr>
        <w:jc w:val="both"/>
        <w:rPr>
          <w:rFonts w:ascii="Arial" w:hAnsi="Arial" w:cs="Arial"/>
          <w:sz w:val="22"/>
          <w:szCs w:val="22"/>
        </w:rPr>
      </w:pPr>
      <w:r w:rsidRPr="006C5AB5">
        <w:rPr>
          <w:rFonts w:ascii="Arial" w:hAnsi="Arial" w:cs="Arial"/>
          <w:sz w:val="22"/>
          <w:szCs w:val="22"/>
        </w:rPr>
        <w:t>La legitimación en la causa es la identidad entre las personas que forman parte del proceso y las personas que son los titulares activos o pasivos de la relacion juridica sustancial que se discute. Un ejemplo: si Pedro le presta dinero a Juan, el legitimado activo (quien debe demandar) es Pedro, no su primo; y el legitimado pasivo (quien debe ser demandado) es Juan, no su padre.</w:t>
      </w:r>
    </w:p>
    <w:p w14:paraId="17EFFD26" w14:textId="77777777" w:rsidR="006C5AB5" w:rsidRPr="006C5AB5" w:rsidRDefault="006C5AB5" w:rsidP="006C5AB5">
      <w:pPr>
        <w:jc w:val="both"/>
        <w:rPr>
          <w:rFonts w:ascii="Arial" w:hAnsi="Arial" w:cs="Arial"/>
          <w:sz w:val="22"/>
          <w:szCs w:val="22"/>
        </w:rPr>
      </w:pPr>
    </w:p>
    <w:p w14:paraId="6CCF4C54" w14:textId="77777777" w:rsidR="006C5AB5" w:rsidRPr="006C5AB5" w:rsidRDefault="006C5AB5" w:rsidP="006C5AB5">
      <w:pPr>
        <w:jc w:val="both"/>
        <w:rPr>
          <w:rFonts w:ascii="Arial" w:hAnsi="Arial" w:cs="Arial"/>
          <w:b/>
          <w:bCs/>
          <w:sz w:val="22"/>
          <w:szCs w:val="22"/>
        </w:rPr>
      </w:pPr>
      <w:r w:rsidRPr="006C5AB5">
        <w:rPr>
          <w:rFonts w:ascii="Arial" w:hAnsi="Arial" w:cs="Arial"/>
          <w:b/>
          <w:bCs/>
          <w:sz w:val="22"/>
          <w:szCs w:val="22"/>
        </w:rPr>
        <w:t>CAPSULA 3.4</w:t>
      </w:r>
    </w:p>
    <w:p w14:paraId="67B03530" w14:textId="77777777" w:rsidR="006C5AB5" w:rsidRPr="006C5AB5" w:rsidRDefault="006C5AB5" w:rsidP="006C5AB5">
      <w:pPr>
        <w:jc w:val="both"/>
        <w:rPr>
          <w:rFonts w:ascii="Arial" w:hAnsi="Arial" w:cs="Arial"/>
          <w:b/>
          <w:bCs/>
          <w:sz w:val="22"/>
          <w:szCs w:val="22"/>
        </w:rPr>
      </w:pPr>
      <w:r w:rsidRPr="006C5AB5">
        <w:rPr>
          <w:rFonts w:ascii="Arial" w:hAnsi="Arial" w:cs="Arial"/>
          <w:b/>
          <w:bCs/>
          <w:sz w:val="22"/>
          <w:szCs w:val="22"/>
        </w:rPr>
        <w:t>EL DERECHO DE POSTULACIÓN: LOS ABOGADOS EN EL PROCESO</w:t>
      </w:r>
    </w:p>
    <w:p w14:paraId="6DF56A3F" w14:textId="77777777" w:rsidR="006C5AB5" w:rsidRPr="006C5AB5" w:rsidRDefault="006C5AB5" w:rsidP="006C5AB5">
      <w:pPr>
        <w:jc w:val="both"/>
        <w:rPr>
          <w:rFonts w:ascii="Arial" w:hAnsi="Arial" w:cs="Arial"/>
          <w:b/>
          <w:bCs/>
          <w:sz w:val="22"/>
          <w:szCs w:val="22"/>
          <w:u w:val="single"/>
        </w:rPr>
      </w:pPr>
      <w:r w:rsidRPr="006C5AB5">
        <w:rPr>
          <w:rFonts w:ascii="Arial" w:hAnsi="Arial" w:cs="Arial"/>
          <w:b/>
          <w:bCs/>
          <w:sz w:val="22"/>
          <w:szCs w:val="22"/>
          <w:u w:val="single"/>
        </w:rPr>
        <w:t>3.4.1 Que es el Derecho de Postulación?</w:t>
      </w:r>
    </w:p>
    <w:p w14:paraId="7AF9DDBB" w14:textId="77777777" w:rsidR="006C5AB5" w:rsidRPr="006C5AB5" w:rsidRDefault="006C5AB5" w:rsidP="006C5AB5">
      <w:pPr>
        <w:jc w:val="both"/>
        <w:rPr>
          <w:rFonts w:ascii="Arial" w:hAnsi="Arial" w:cs="Arial"/>
          <w:sz w:val="22"/>
          <w:szCs w:val="22"/>
        </w:rPr>
      </w:pPr>
    </w:p>
    <w:p w14:paraId="5EBC5009" w14:textId="77777777" w:rsidR="006C5AB5" w:rsidRPr="006C5AB5" w:rsidRDefault="006C5AB5" w:rsidP="006C5AB5">
      <w:pPr>
        <w:jc w:val="both"/>
        <w:rPr>
          <w:rFonts w:ascii="Arial" w:hAnsi="Arial" w:cs="Arial"/>
          <w:sz w:val="22"/>
          <w:szCs w:val="22"/>
        </w:rPr>
      </w:pPr>
      <w:r w:rsidRPr="006C5AB5">
        <w:rPr>
          <w:rFonts w:ascii="Arial" w:hAnsi="Arial" w:cs="Arial"/>
          <w:sz w:val="22"/>
          <w:szCs w:val="22"/>
        </w:rPr>
        <w:t>El DERECHO DE POSTULACIÓN es la exigencia legal de que las partes actúen en el proceso a través de un abogado titulado e inscrito. No basta con tener capacidad procesal (ser mayor de edad); la ley exige, adicionalmente, la intervención de un profesional del derecho para que las actuaciones procesales sean validas.</w:t>
      </w:r>
    </w:p>
    <w:p w14:paraId="795741E8" w14:textId="77777777" w:rsidR="006C5AB5" w:rsidRPr="006C5AB5" w:rsidRDefault="006C5AB5" w:rsidP="006C5AB5">
      <w:pPr>
        <w:jc w:val="both"/>
        <w:rPr>
          <w:rFonts w:ascii="Arial" w:hAnsi="Arial" w:cs="Arial"/>
          <w:sz w:val="22"/>
          <w:szCs w:val="22"/>
        </w:rPr>
      </w:pPr>
      <w:r w:rsidRPr="006C5AB5">
        <w:rPr>
          <w:rFonts w:ascii="Arial" w:hAnsi="Arial" w:cs="Arial"/>
          <w:sz w:val="22"/>
          <w:szCs w:val="22"/>
        </w:rPr>
        <w:t>La razon de ser de esta exigencia es garantizar la calidad técnica de la actividad procesal: el proceso civil es una disciplina altamente técnica que requiere conocimientos jurídicos especializados. La intervención obligatoria del abogado protege no solo los intereses de la parte, sino la integridad del proceso.</w:t>
      </w:r>
    </w:p>
    <w:p w14:paraId="23885CEA" w14:textId="77777777" w:rsidR="006C5AB5" w:rsidRPr="006C5AB5" w:rsidRDefault="006C5AB5" w:rsidP="006C5AB5">
      <w:pPr>
        <w:jc w:val="both"/>
        <w:rPr>
          <w:rFonts w:ascii="Arial" w:hAnsi="Arial" w:cs="Arial"/>
          <w:sz w:val="22"/>
          <w:szCs w:val="22"/>
        </w:rPr>
      </w:pPr>
      <w:r w:rsidRPr="006C5AB5">
        <w:rPr>
          <w:rFonts w:ascii="Arial" w:hAnsi="Arial" w:cs="Arial"/>
          <w:sz w:val="22"/>
          <w:szCs w:val="22"/>
        </w:rPr>
        <w:t>El fundamento normativo es el artículo 73 del CGP: 'Las personas que hayan de comparecer al proceso deberán hacerlo por conducto de abogado legalmente autorizado, excepto en los casos en que la ley permita su intervención directa.'</w:t>
      </w:r>
    </w:p>
    <w:p w14:paraId="41614BC2" w14:textId="77777777" w:rsidR="006C5AB5" w:rsidRPr="006C5AB5" w:rsidRDefault="006C5AB5" w:rsidP="006C5AB5">
      <w:pPr>
        <w:jc w:val="both"/>
        <w:rPr>
          <w:rFonts w:ascii="Arial" w:hAnsi="Arial" w:cs="Arial"/>
          <w:sz w:val="22"/>
          <w:szCs w:val="22"/>
        </w:rPr>
      </w:pPr>
    </w:p>
    <w:p w14:paraId="4CA427A5" w14:textId="77777777" w:rsidR="006C5AB5" w:rsidRPr="006C5AB5" w:rsidRDefault="006C5AB5" w:rsidP="006C5AB5">
      <w:pPr>
        <w:jc w:val="both"/>
        <w:rPr>
          <w:rFonts w:ascii="Arial" w:hAnsi="Arial" w:cs="Arial"/>
          <w:sz w:val="22"/>
          <w:szCs w:val="22"/>
        </w:rPr>
      </w:pPr>
      <w:r w:rsidRPr="006C5AB5">
        <w:rPr>
          <w:rFonts w:ascii="Arial" w:hAnsi="Arial" w:cs="Arial"/>
          <w:b/>
          <w:bCs/>
          <w:sz w:val="22"/>
          <w:szCs w:val="22"/>
          <w:u w:val="single"/>
        </w:rPr>
        <w:t>3.4.2 Excepciones al Derecho de Postulación (Art. 73 CGP)</w:t>
      </w:r>
    </w:p>
    <w:p w14:paraId="5091BA6F" w14:textId="77777777" w:rsidR="006C5AB5" w:rsidRPr="006C5AB5" w:rsidRDefault="006C5AB5" w:rsidP="006C5AB5">
      <w:pPr>
        <w:jc w:val="both"/>
        <w:rPr>
          <w:rFonts w:ascii="Arial" w:hAnsi="Arial" w:cs="Arial"/>
          <w:sz w:val="22"/>
          <w:szCs w:val="22"/>
        </w:rPr>
      </w:pPr>
      <w:r w:rsidRPr="006C5AB5">
        <w:rPr>
          <w:rFonts w:ascii="Arial" w:hAnsi="Arial" w:cs="Arial"/>
          <w:sz w:val="22"/>
          <w:szCs w:val="22"/>
        </w:rPr>
        <w:t>La regla general es la intervención obligatoria de abogado. Las excepciones son taxativas:</w:t>
      </w:r>
    </w:p>
    <w:p w14:paraId="01AA17D5" w14:textId="77777777" w:rsidR="006C5AB5" w:rsidRPr="006C5AB5" w:rsidRDefault="006C5AB5" w:rsidP="006C5AB5">
      <w:pPr>
        <w:jc w:val="both"/>
        <w:rPr>
          <w:rFonts w:ascii="Arial" w:hAnsi="Arial" w:cs="Arial"/>
          <w:sz w:val="22"/>
          <w:szCs w:val="22"/>
        </w:rPr>
      </w:pPr>
    </w:p>
    <w:tbl>
      <w:tblPr>
        <w:tblW w:w="0" w:type="auto"/>
        <w:tblCellMar>
          <w:top w:w="15" w:type="dxa"/>
          <w:left w:w="15" w:type="dxa"/>
          <w:bottom w:w="15" w:type="dxa"/>
          <w:right w:w="15" w:type="dxa"/>
        </w:tblCellMar>
        <w:tblLook w:val="04A0" w:firstRow="1" w:lastRow="0" w:firstColumn="1" w:lastColumn="0" w:noHBand="0" w:noVBand="1"/>
      </w:tblPr>
      <w:tblGrid>
        <w:gridCol w:w="2635"/>
        <w:gridCol w:w="4422"/>
        <w:gridCol w:w="1771"/>
      </w:tblGrid>
      <w:tr w:rsidR="006C5AB5" w:rsidRPr="006C5AB5" w14:paraId="0AE3F7AD"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7561023E" w14:textId="77777777" w:rsidR="006C5AB5" w:rsidRPr="006C5AB5" w:rsidRDefault="006C5AB5" w:rsidP="00DD2DD5">
            <w:pPr>
              <w:jc w:val="both"/>
              <w:rPr>
                <w:rFonts w:ascii="Arial" w:hAnsi="Arial" w:cs="Arial"/>
                <w:sz w:val="22"/>
                <w:szCs w:val="22"/>
              </w:rPr>
            </w:pPr>
            <w:r w:rsidRPr="006C5AB5">
              <w:rPr>
                <w:rFonts w:ascii="Arial" w:hAnsi="Arial" w:cs="Arial"/>
                <w:b/>
                <w:bCs/>
                <w:sz w:val="22"/>
                <w:szCs w:val="22"/>
              </w:rPr>
              <w:t>EXCEPCIÓN</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25A009C0" w14:textId="77777777" w:rsidR="006C5AB5" w:rsidRPr="006C5AB5" w:rsidRDefault="006C5AB5" w:rsidP="00DD2DD5">
            <w:pPr>
              <w:jc w:val="both"/>
              <w:rPr>
                <w:rFonts w:ascii="Arial" w:hAnsi="Arial" w:cs="Arial"/>
                <w:sz w:val="22"/>
                <w:szCs w:val="22"/>
              </w:rPr>
            </w:pPr>
            <w:r w:rsidRPr="006C5AB5">
              <w:rPr>
                <w:rFonts w:ascii="Arial" w:hAnsi="Arial" w:cs="Arial"/>
                <w:b/>
                <w:bCs/>
                <w:sz w:val="22"/>
                <w:szCs w:val="22"/>
              </w:rPr>
              <w:t>DESCRIPCIÓN</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07A2C81F" w14:textId="77777777" w:rsidR="006C5AB5" w:rsidRPr="006C5AB5" w:rsidRDefault="006C5AB5" w:rsidP="00DD2DD5">
            <w:pPr>
              <w:jc w:val="both"/>
              <w:rPr>
                <w:rFonts w:ascii="Arial" w:hAnsi="Arial" w:cs="Arial"/>
                <w:sz w:val="22"/>
                <w:szCs w:val="22"/>
              </w:rPr>
            </w:pPr>
            <w:r w:rsidRPr="006C5AB5">
              <w:rPr>
                <w:rFonts w:ascii="Arial" w:hAnsi="Arial" w:cs="Arial"/>
                <w:b/>
                <w:bCs/>
                <w:sz w:val="22"/>
                <w:szCs w:val="22"/>
              </w:rPr>
              <w:t>NORMA</w:t>
            </w:r>
          </w:p>
        </w:tc>
      </w:tr>
      <w:tr w:rsidR="006C5AB5" w:rsidRPr="006C5AB5" w14:paraId="4CDF285A"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66A153FA"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Procesos de minima cuantia</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561F9D7F"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En procesos verbales sumarios de minima cuantia, las partes pueden actuar directamente sin abogado.</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15E9FEC2"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Art. 73 inc. 2 / Art. 390 CGP</w:t>
            </w:r>
          </w:p>
        </w:tc>
      </w:tr>
      <w:tr w:rsidR="006C5AB5" w:rsidRPr="006C5AB5" w14:paraId="48DB15C0"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281BD04D"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lastRenderedPageBreak/>
              <w:t>Diligencias previas</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4E12D803"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La presentación de la solicitud de conciliación extrajudicial no requiere abogado en todos los casos.</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43F5D437"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Ley 640 de 2001</w:t>
            </w:r>
          </w:p>
        </w:tc>
      </w:tr>
      <w:tr w:rsidR="006C5AB5" w:rsidRPr="006C5AB5" w14:paraId="3DC35E41"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17DE4370"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Derecho de peticion propio</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44CDED9D"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Las personas pueden presentar derechos de peticion y tutelas directamente.</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2B217647"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Art. 23 C.P. / Decreto 2591/91</w:t>
            </w:r>
          </w:p>
        </w:tc>
      </w:tr>
      <w:tr w:rsidR="006C5AB5" w:rsidRPr="006C5AB5" w14:paraId="03EDBDE0"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0B03C300"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Audiencias de inventarios y avalúos en sucesión</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2A5C933E"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En algunos trámites notariales de sucesión de común acuerdo.</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3C898CDD"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Arts. 487 y ss. CGP</w:t>
            </w:r>
          </w:p>
        </w:tc>
      </w:tr>
      <w:tr w:rsidR="006C5AB5" w:rsidRPr="006C5AB5" w14:paraId="693D804E"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5299E7B5"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Abogado en causa propia</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755AE078"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El abogado titulado puede actuar en su propio proceso sin necesidad de apoderado.</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3A625401"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Art. 73 par. CGP</w:t>
            </w:r>
          </w:p>
        </w:tc>
      </w:tr>
    </w:tbl>
    <w:p w14:paraId="77701749" w14:textId="77777777" w:rsidR="006C5AB5" w:rsidRPr="006C5AB5" w:rsidRDefault="006C5AB5" w:rsidP="006C5AB5">
      <w:pPr>
        <w:jc w:val="both"/>
        <w:rPr>
          <w:rFonts w:ascii="Arial" w:hAnsi="Arial" w:cs="Arial"/>
          <w:b/>
          <w:bCs/>
          <w:sz w:val="22"/>
          <w:szCs w:val="22"/>
          <w:u w:val="single"/>
        </w:rPr>
      </w:pPr>
    </w:p>
    <w:p w14:paraId="223A3B64" w14:textId="77777777" w:rsidR="006C5AB5" w:rsidRPr="006C5AB5" w:rsidRDefault="006C5AB5" w:rsidP="006C5AB5">
      <w:pPr>
        <w:jc w:val="both"/>
        <w:rPr>
          <w:rFonts w:ascii="Arial" w:hAnsi="Arial" w:cs="Arial"/>
          <w:b/>
          <w:bCs/>
          <w:sz w:val="22"/>
          <w:szCs w:val="22"/>
          <w:u w:val="single"/>
        </w:rPr>
      </w:pPr>
      <w:r w:rsidRPr="006C5AB5">
        <w:rPr>
          <w:rFonts w:ascii="Arial" w:hAnsi="Arial" w:cs="Arial"/>
          <w:b/>
          <w:bCs/>
          <w:sz w:val="22"/>
          <w:szCs w:val="22"/>
          <w:u w:val="single"/>
        </w:rPr>
        <w:t>3.4.3 El Contrato de Mandato Judicial</w:t>
      </w:r>
    </w:p>
    <w:p w14:paraId="2F052626" w14:textId="77777777" w:rsidR="006C5AB5" w:rsidRPr="006C5AB5" w:rsidRDefault="006C5AB5" w:rsidP="006C5AB5">
      <w:pPr>
        <w:jc w:val="both"/>
        <w:rPr>
          <w:rFonts w:ascii="Arial" w:hAnsi="Arial" w:cs="Arial"/>
          <w:sz w:val="22"/>
          <w:szCs w:val="22"/>
        </w:rPr>
      </w:pPr>
    </w:p>
    <w:p w14:paraId="739549D5" w14:textId="77777777" w:rsidR="006C5AB5" w:rsidRPr="006C5AB5" w:rsidRDefault="006C5AB5" w:rsidP="006C5AB5">
      <w:pPr>
        <w:jc w:val="both"/>
        <w:rPr>
          <w:rFonts w:ascii="Arial" w:hAnsi="Arial" w:cs="Arial"/>
          <w:sz w:val="22"/>
          <w:szCs w:val="22"/>
        </w:rPr>
      </w:pPr>
      <w:r w:rsidRPr="006C5AB5">
        <w:rPr>
          <w:rFonts w:ascii="Arial" w:hAnsi="Arial" w:cs="Arial"/>
          <w:sz w:val="22"/>
          <w:szCs w:val="22"/>
        </w:rPr>
        <w:t>La relacion entre el cliente y su abogado en el proceso civil es un CONTRATO DE MANDATO JUDICIAL, regulado por los artículos 74 y siguientes del CGP y por el Decreto 196 de 1971 (Estatuto del Abogado), modificado por la Ley 1123 de 2007 (Código Disciplinario del Abogado).</w:t>
      </w:r>
    </w:p>
    <w:p w14:paraId="413E5BE7" w14:textId="77777777" w:rsidR="006C5AB5" w:rsidRPr="006C5AB5" w:rsidRDefault="006C5AB5" w:rsidP="006C5AB5">
      <w:pPr>
        <w:jc w:val="both"/>
        <w:rPr>
          <w:rFonts w:ascii="Arial" w:hAnsi="Arial" w:cs="Arial"/>
          <w:sz w:val="22"/>
          <w:szCs w:val="22"/>
        </w:rPr>
      </w:pPr>
    </w:p>
    <w:tbl>
      <w:tblPr>
        <w:tblW w:w="0" w:type="auto"/>
        <w:tblCellMar>
          <w:top w:w="15" w:type="dxa"/>
          <w:left w:w="15" w:type="dxa"/>
          <w:bottom w:w="15" w:type="dxa"/>
          <w:right w:w="15" w:type="dxa"/>
        </w:tblCellMar>
        <w:tblLook w:val="04A0" w:firstRow="1" w:lastRow="0" w:firstColumn="1" w:lastColumn="0" w:noHBand="0" w:noVBand="1"/>
      </w:tblPr>
      <w:tblGrid>
        <w:gridCol w:w="8828"/>
      </w:tblGrid>
      <w:tr w:rsidR="006C5AB5" w:rsidRPr="006C5AB5" w14:paraId="2E7BB628"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3CD"/>
            <w:tcMar>
              <w:top w:w="140" w:type="dxa"/>
              <w:left w:w="200" w:type="dxa"/>
              <w:bottom w:w="140" w:type="dxa"/>
              <w:right w:w="200" w:type="dxa"/>
            </w:tcMar>
            <w:hideMark/>
          </w:tcPr>
          <w:p w14:paraId="10587993" w14:textId="77777777" w:rsidR="006C5AB5" w:rsidRPr="006C5AB5" w:rsidRDefault="006C5AB5" w:rsidP="00DD2DD5">
            <w:pPr>
              <w:jc w:val="both"/>
              <w:rPr>
                <w:rFonts w:ascii="Arial" w:hAnsi="Arial" w:cs="Arial"/>
                <w:sz w:val="22"/>
                <w:szCs w:val="22"/>
              </w:rPr>
            </w:pPr>
            <w:r w:rsidRPr="006C5AB5">
              <w:rPr>
                <w:rFonts w:ascii="Arial" w:hAnsi="Arial" w:cs="Arial"/>
                <w:b/>
                <w:bCs/>
                <w:sz w:val="22"/>
                <w:szCs w:val="22"/>
              </w:rPr>
              <w:t>ELEMENTOS DEL MANDATO JUDICIAL</w:t>
            </w:r>
          </w:p>
          <w:p w14:paraId="2D3CA8E9" w14:textId="77777777" w:rsidR="006C5AB5" w:rsidRPr="006C5AB5" w:rsidRDefault="006C5AB5" w:rsidP="00DD2DD5">
            <w:pPr>
              <w:jc w:val="both"/>
              <w:rPr>
                <w:rFonts w:ascii="Arial" w:hAnsi="Arial" w:cs="Arial"/>
                <w:sz w:val="22"/>
                <w:szCs w:val="22"/>
              </w:rPr>
            </w:pPr>
            <w:r w:rsidRPr="006C5AB5">
              <w:rPr>
                <w:rFonts w:ascii="Arial" w:hAnsi="Arial" w:cs="Arial"/>
                <w:b/>
                <w:bCs/>
                <w:sz w:val="22"/>
                <w:szCs w:val="22"/>
              </w:rPr>
              <w:t xml:space="preserve">Mandante: </w:t>
            </w:r>
            <w:r w:rsidRPr="006C5AB5">
              <w:rPr>
                <w:rFonts w:ascii="Arial" w:hAnsi="Arial" w:cs="Arial"/>
                <w:sz w:val="22"/>
                <w:szCs w:val="22"/>
              </w:rPr>
              <w:t>El cliente (poderdante). Quien otorga el poder.</w:t>
            </w:r>
          </w:p>
          <w:p w14:paraId="0B28C871" w14:textId="77777777" w:rsidR="006C5AB5" w:rsidRPr="006C5AB5" w:rsidRDefault="006C5AB5" w:rsidP="00DD2DD5">
            <w:pPr>
              <w:jc w:val="both"/>
              <w:rPr>
                <w:rFonts w:ascii="Arial" w:hAnsi="Arial" w:cs="Arial"/>
                <w:sz w:val="22"/>
                <w:szCs w:val="22"/>
              </w:rPr>
            </w:pPr>
            <w:r w:rsidRPr="006C5AB5">
              <w:rPr>
                <w:rFonts w:ascii="Arial" w:hAnsi="Arial" w:cs="Arial"/>
                <w:b/>
                <w:bCs/>
                <w:sz w:val="22"/>
                <w:szCs w:val="22"/>
              </w:rPr>
              <w:t xml:space="preserve">Mandatario: </w:t>
            </w:r>
            <w:r w:rsidRPr="006C5AB5">
              <w:rPr>
                <w:rFonts w:ascii="Arial" w:hAnsi="Arial" w:cs="Arial"/>
                <w:sz w:val="22"/>
                <w:szCs w:val="22"/>
              </w:rPr>
              <w:t>El abogado (apoderado). Quien recibe el poder para actuar en nombre del cliente.</w:t>
            </w:r>
          </w:p>
          <w:p w14:paraId="369E49B4" w14:textId="77777777" w:rsidR="006C5AB5" w:rsidRPr="006C5AB5" w:rsidRDefault="006C5AB5" w:rsidP="00DD2DD5">
            <w:pPr>
              <w:jc w:val="both"/>
              <w:rPr>
                <w:rFonts w:ascii="Arial" w:hAnsi="Arial" w:cs="Arial"/>
                <w:sz w:val="22"/>
                <w:szCs w:val="22"/>
              </w:rPr>
            </w:pPr>
            <w:r w:rsidRPr="006C5AB5">
              <w:rPr>
                <w:rFonts w:ascii="Arial" w:hAnsi="Arial" w:cs="Arial"/>
                <w:b/>
                <w:bCs/>
                <w:sz w:val="22"/>
                <w:szCs w:val="22"/>
              </w:rPr>
              <w:t xml:space="preserve">Objeto: </w:t>
            </w:r>
            <w:r w:rsidRPr="006C5AB5">
              <w:rPr>
                <w:rFonts w:ascii="Arial" w:hAnsi="Arial" w:cs="Arial"/>
                <w:sz w:val="22"/>
                <w:szCs w:val="22"/>
              </w:rPr>
              <w:t>Representar al cliente en un proceso judicial especifico o en todos sus negocios judiciales.</w:t>
            </w:r>
          </w:p>
          <w:p w14:paraId="717E5022" w14:textId="77777777" w:rsidR="006C5AB5" w:rsidRPr="006C5AB5" w:rsidRDefault="006C5AB5" w:rsidP="00DD2DD5">
            <w:pPr>
              <w:jc w:val="both"/>
              <w:rPr>
                <w:rFonts w:ascii="Arial" w:hAnsi="Arial" w:cs="Arial"/>
                <w:sz w:val="22"/>
                <w:szCs w:val="22"/>
              </w:rPr>
            </w:pPr>
            <w:r w:rsidRPr="006C5AB5">
              <w:rPr>
                <w:rFonts w:ascii="Arial" w:hAnsi="Arial" w:cs="Arial"/>
                <w:b/>
                <w:bCs/>
                <w:sz w:val="22"/>
                <w:szCs w:val="22"/>
              </w:rPr>
              <w:t xml:space="preserve">Remuneración: </w:t>
            </w:r>
            <w:r w:rsidRPr="006C5AB5">
              <w:rPr>
                <w:rFonts w:ascii="Arial" w:hAnsi="Arial" w:cs="Arial"/>
                <w:sz w:val="22"/>
                <w:szCs w:val="22"/>
              </w:rPr>
              <w:t>Los honorarios profesionales, que son libres pero regulados por la costumbre y los criterios del Código Disciplinario del Abogado.</w:t>
            </w:r>
          </w:p>
          <w:p w14:paraId="15D52F13" w14:textId="77777777" w:rsidR="006C5AB5" w:rsidRPr="006C5AB5" w:rsidRDefault="006C5AB5" w:rsidP="00DD2DD5">
            <w:pPr>
              <w:jc w:val="both"/>
              <w:rPr>
                <w:rFonts w:ascii="Arial" w:hAnsi="Arial" w:cs="Arial"/>
                <w:sz w:val="22"/>
                <w:szCs w:val="22"/>
              </w:rPr>
            </w:pPr>
            <w:r w:rsidRPr="006C5AB5">
              <w:rPr>
                <w:rFonts w:ascii="Arial" w:hAnsi="Arial" w:cs="Arial"/>
                <w:b/>
                <w:bCs/>
                <w:sz w:val="22"/>
                <w:szCs w:val="22"/>
              </w:rPr>
              <w:t xml:space="preserve">Formalidades: </w:t>
            </w:r>
            <w:r w:rsidRPr="006C5AB5">
              <w:rPr>
                <w:rFonts w:ascii="Arial" w:hAnsi="Arial" w:cs="Arial"/>
                <w:sz w:val="22"/>
                <w:szCs w:val="22"/>
              </w:rPr>
              <w:t>El poder debe constar por escrito. Puede ser mediante escritura pública, documento privado autenticado, o mensaje de datos con firma electrónica (Art. 74 CGP).</w:t>
            </w:r>
          </w:p>
        </w:tc>
      </w:tr>
    </w:tbl>
    <w:p w14:paraId="5B07F698" w14:textId="77777777" w:rsidR="006C5AB5" w:rsidRPr="006C5AB5" w:rsidRDefault="006C5AB5" w:rsidP="006C5AB5">
      <w:pPr>
        <w:jc w:val="both"/>
        <w:rPr>
          <w:rFonts w:ascii="Arial" w:hAnsi="Arial" w:cs="Arial"/>
          <w:sz w:val="22"/>
          <w:szCs w:val="22"/>
        </w:rPr>
      </w:pPr>
    </w:p>
    <w:p w14:paraId="5B8C0BCB" w14:textId="77777777" w:rsidR="006C5AB5" w:rsidRPr="006C5AB5" w:rsidRDefault="006C5AB5" w:rsidP="006C5AB5">
      <w:pPr>
        <w:jc w:val="both"/>
        <w:rPr>
          <w:rFonts w:ascii="Arial" w:hAnsi="Arial" w:cs="Arial"/>
          <w:b/>
          <w:bCs/>
          <w:sz w:val="22"/>
          <w:szCs w:val="22"/>
          <w:u w:val="single"/>
        </w:rPr>
      </w:pPr>
      <w:r w:rsidRPr="006C5AB5">
        <w:rPr>
          <w:rFonts w:ascii="Arial" w:hAnsi="Arial" w:cs="Arial"/>
          <w:b/>
          <w:bCs/>
          <w:sz w:val="22"/>
          <w:szCs w:val="22"/>
          <w:u w:val="single"/>
        </w:rPr>
        <w:t>3.4.4 Clases de Poder Judicial</w:t>
      </w:r>
    </w:p>
    <w:p w14:paraId="26AD5E23" w14:textId="77777777" w:rsidR="006C5AB5" w:rsidRPr="006C5AB5" w:rsidRDefault="006C5AB5" w:rsidP="006C5AB5">
      <w:pPr>
        <w:jc w:val="both"/>
        <w:rPr>
          <w:rFonts w:ascii="Arial" w:hAnsi="Arial" w:cs="Arial"/>
          <w:sz w:val="22"/>
          <w:szCs w:val="22"/>
        </w:rPr>
      </w:pPr>
    </w:p>
    <w:p w14:paraId="64013410" w14:textId="77777777" w:rsidR="006C5AB5" w:rsidRPr="006C5AB5" w:rsidRDefault="006C5AB5" w:rsidP="006C5AB5">
      <w:pPr>
        <w:jc w:val="both"/>
        <w:rPr>
          <w:rFonts w:ascii="Arial" w:hAnsi="Arial" w:cs="Arial"/>
          <w:sz w:val="22"/>
          <w:szCs w:val="22"/>
        </w:rPr>
      </w:pPr>
      <w:r w:rsidRPr="006C5AB5">
        <w:rPr>
          <w:rFonts w:ascii="Arial" w:hAnsi="Arial" w:cs="Arial"/>
          <w:sz w:val="22"/>
          <w:szCs w:val="22"/>
        </w:rPr>
        <w:t>El CGP distingue dos tipos principales de poder judicial, según su alcance:</w:t>
      </w:r>
    </w:p>
    <w:p w14:paraId="1D37315E" w14:textId="77777777" w:rsidR="006C5AB5" w:rsidRPr="006C5AB5" w:rsidRDefault="006C5AB5" w:rsidP="006C5AB5">
      <w:pPr>
        <w:jc w:val="both"/>
        <w:rPr>
          <w:rFonts w:ascii="Arial" w:hAnsi="Arial" w:cs="Arial"/>
          <w:sz w:val="22"/>
          <w:szCs w:val="22"/>
        </w:rPr>
      </w:pPr>
    </w:p>
    <w:tbl>
      <w:tblPr>
        <w:tblW w:w="0" w:type="auto"/>
        <w:tblCellMar>
          <w:top w:w="15" w:type="dxa"/>
          <w:left w:w="15" w:type="dxa"/>
          <w:bottom w:w="15" w:type="dxa"/>
          <w:right w:w="15" w:type="dxa"/>
        </w:tblCellMar>
        <w:tblLook w:val="04A0" w:firstRow="1" w:lastRow="0" w:firstColumn="1" w:lastColumn="0" w:noHBand="0" w:noVBand="1"/>
      </w:tblPr>
      <w:tblGrid>
        <w:gridCol w:w="1464"/>
        <w:gridCol w:w="2313"/>
        <w:gridCol w:w="2622"/>
        <w:gridCol w:w="2429"/>
      </w:tblGrid>
      <w:tr w:rsidR="006C5AB5" w:rsidRPr="006C5AB5" w14:paraId="4B326E7D"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696D97AC" w14:textId="77777777" w:rsidR="006C5AB5" w:rsidRPr="006C5AB5" w:rsidRDefault="006C5AB5" w:rsidP="00DD2DD5">
            <w:pPr>
              <w:jc w:val="both"/>
              <w:rPr>
                <w:rFonts w:ascii="Arial" w:hAnsi="Arial" w:cs="Arial"/>
                <w:sz w:val="22"/>
                <w:szCs w:val="22"/>
              </w:rPr>
            </w:pPr>
            <w:r w:rsidRPr="006C5AB5">
              <w:rPr>
                <w:rFonts w:ascii="Arial" w:hAnsi="Arial" w:cs="Arial"/>
                <w:b/>
                <w:bCs/>
                <w:sz w:val="22"/>
                <w:szCs w:val="22"/>
              </w:rPr>
              <w:t>TIPO DE PODER</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2C6087FD" w14:textId="77777777" w:rsidR="006C5AB5" w:rsidRPr="006C5AB5" w:rsidRDefault="006C5AB5" w:rsidP="00DD2DD5">
            <w:pPr>
              <w:jc w:val="both"/>
              <w:rPr>
                <w:rFonts w:ascii="Arial" w:hAnsi="Arial" w:cs="Arial"/>
                <w:sz w:val="22"/>
                <w:szCs w:val="22"/>
              </w:rPr>
            </w:pPr>
            <w:r w:rsidRPr="006C5AB5">
              <w:rPr>
                <w:rFonts w:ascii="Arial" w:hAnsi="Arial" w:cs="Arial"/>
                <w:b/>
                <w:bCs/>
                <w:sz w:val="22"/>
                <w:szCs w:val="22"/>
              </w:rPr>
              <w:t>ALCANCE</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0E4DBAF9" w14:textId="77777777" w:rsidR="006C5AB5" w:rsidRPr="006C5AB5" w:rsidRDefault="006C5AB5" w:rsidP="00DD2DD5">
            <w:pPr>
              <w:jc w:val="both"/>
              <w:rPr>
                <w:rFonts w:ascii="Arial" w:hAnsi="Arial" w:cs="Arial"/>
                <w:sz w:val="22"/>
                <w:szCs w:val="22"/>
              </w:rPr>
            </w:pPr>
            <w:r w:rsidRPr="006C5AB5">
              <w:rPr>
                <w:rFonts w:ascii="Arial" w:hAnsi="Arial" w:cs="Arial"/>
                <w:b/>
                <w:bCs/>
                <w:sz w:val="22"/>
                <w:szCs w:val="22"/>
              </w:rPr>
              <w:t>FORMA</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570A8F90" w14:textId="77777777" w:rsidR="006C5AB5" w:rsidRPr="006C5AB5" w:rsidRDefault="006C5AB5" w:rsidP="00DD2DD5">
            <w:pPr>
              <w:jc w:val="both"/>
              <w:rPr>
                <w:rFonts w:ascii="Arial" w:hAnsi="Arial" w:cs="Arial"/>
                <w:sz w:val="22"/>
                <w:szCs w:val="22"/>
              </w:rPr>
            </w:pPr>
            <w:r w:rsidRPr="006C5AB5">
              <w:rPr>
                <w:rFonts w:ascii="Arial" w:hAnsi="Arial" w:cs="Arial"/>
                <w:b/>
                <w:bCs/>
                <w:sz w:val="22"/>
                <w:szCs w:val="22"/>
              </w:rPr>
              <w:t>CUANDO SE USA</w:t>
            </w:r>
          </w:p>
        </w:tc>
      </w:tr>
      <w:tr w:rsidR="006C5AB5" w:rsidRPr="006C5AB5" w14:paraId="40FACF33"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68C58FD1"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PODER GENERAL</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7E2B4008"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Faculta al apoderado para representar al poderdante en TODOS sus negocios judiciales presentes y futuros.</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5C445D74"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Escritura pública o documento privado con reconocimiento de firma.</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45C2105E"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Cuando se quiere dar representación amplia y permanente.</w:t>
            </w:r>
          </w:p>
        </w:tc>
      </w:tr>
      <w:tr w:rsidR="006C5AB5" w:rsidRPr="006C5AB5" w14:paraId="4E8A8C3C"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70EBA454"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lastRenderedPageBreak/>
              <w:t>PODER ESPECIAL</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1B0C0B53"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Faculta al apoderado solo para un proceso o actuación judicial especifica.</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381B3CB4"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Documento privado autenticado, mensaje de datos con firma electrónica reconocida, o manifestación en audiencia.</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07F49F29"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El más común en la práctica: poder para un proceso determinado.</w:t>
            </w:r>
          </w:p>
        </w:tc>
      </w:tr>
      <w:tr w:rsidR="006C5AB5" w:rsidRPr="006C5AB5" w14:paraId="76A8C4DA"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3432B74F"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PODER APUD ACTA</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18AF1F8D"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Se confiere verbalmente en audiencia ante el juez del proceso. Queda registrado en el acta.</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115A3380"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Verbal ante el juez. El juez lo hace constar en el acta.</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4C766FB8"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Cuando el cliente comparece personalmente a la audiencia y desea otorgar el poder allí mismo.</w:t>
            </w:r>
          </w:p>
        </w:tc>
      </w:tr>
    </w:tbl>
    <w:p w14:paraId="4394C553" w14:textId="77777777" w:rsidR="006C5AB5" w:rsidRPr="006C5AB5" w:rsidRDefault="006C5AB5" w:rsidP="006C5AB5">
      <w:pPr>
        <w:jc w:val="both"/>
        <w:rPr>
          <w:rFonts w:ascii="Arial" w:hAnsi="Arial" w:cs="Arial"/>
          <w:sz w:val="22"/>
          <w:szCs w:val="22"/>
        </w:rPr>
      </w:pPr>
    </w:p>
    <w:p w14:paraId="3D62CACF" w14:textId="77777777" w:rsidR="006C5AB5" w:rsidRPr="006C5AB5" w:rsidRDefault="006C5AB5" w:rsidP="006C5AB5">
      <w:pPr>
        <w:jc w:val="both"/>
        <w:rPr>
          <w:rFonts w:ascii="Arial" w:hAnsi="Arial" w:cs="Arial"/>
          <w:b/>
          <w:bCs/>
          <w:sz w:val="22"/>
          <w:szCs w:val="22"/>
          <w:u w:val="single"/>
        </w:rPr>
      </w:pPr>
      <w:r w:rsidRPr="006C5AB5">
        <w:rPr>
          <w:rFonts w:ascii="Arial" w:hAnsi="Arial" w:cs="Arial"/>
          <w:b/>
          <w:bCs/>
          <w:sz w:val="22"/>
          <w:szCs w:val="22"/>
          <w:u w:val="single"/>
        </w:rPr>
        <w:t>3.4.5 El Poder Electrónico: Innovación del CGP</w:t>
      </w:r>
    </w:p>
    <w:p w14:paraId="120B2FE2" w14:textId="77777777" w:rsidR="006C5AB5" w:rsidRPr="006C5AB5" w:rsidRDefault="006C5AB5" w:rsidP="006C5AB5">
      <w:pPr>
        <w:jc w:val="both"/>
        <w:rPr>
          <w:rFonts w:ascii="Arial" w:hAnsi="Arial" w:cs="Arial"/>
          <w:sz w:val="22"/>
          <w:szCs w:val="22"/>
        </w:rPr>
      </w:pPr>
    </w:p>
    <w:p w14:paraId="5238ABEB" w14:textId="77777777" w:rsidR="006C5AB5" w:rsidRPr="006C5AB5" w:rsidRDefault="006C5AB5" w:rsidP="006C5AB5">
      <w:pPr>
        <w:jc w:val="both"/>
        <w:rPr>
          <w:rFonts w:ascii="Arial" w:hAnsi="Arial" w:cs="Arial"/>
          <w:sz w:val="22"/>
          <w:szCs w:val="22"/>
        </w:rPr>
      </w:pPr>
      <w:r w:rsidRPr="006C5AB5">
        <w:rPr>
          <w:rFonts w:ascii="Arial" w:hAnsi="Arial" w:cs="Arial"/>
          <w:sz w:val="22"/>
          <w:szCs w:val="22"/>
        </w:rPr>
        <w:t>Una de las innovaciones más importantes del CGP (y del Decreto 1829 de 2013 que lo reglamenta) es la posibilidad de otorgar poderes judiciales mediante mensaje de datos con firma electrónica. Esto facilita enormemente la práctica del litigio en un país con la geografía de Colombia.</w:t>
      </w:r>
    </w:p>
    <w:p w14:paraId="632846C3" w14:textId="77777777" w:rsidR="006C5AB5" w:rsidRPr="006C5AB5" w:rsidRDefault="006C5AB5" w:rsidP="006C5AB5">
      <w:pPr>
        <w:jc w:val="both"/>
        <w:rPr>
          <w:rFonts w:ascii="Arial" w:hAnsi="Arial" w:cs="Arial"/>
          <w:sz w:val="22"/>
          <w:szCs w:val="22"/>
        </w:rPr>
      </w:pPr>
      <w:r w:rsidRPr="006C5AB5">
        <w:rPr>
          <w:rFonts w:ascii="Arial" w:hAnsi="Arial" w:cs="Arial"/>
          <w:sz w:val="22"/>
          <w:szCs w:val="22"/>
        </w:rPr>
        <w:t>El poder electrónico tiene los mismos efectos jurídicos que el poder en papel, siempre que el mensaje de datos cumpla con los requisitos de autenticidad.</w:t>
      </w:r>
    </w:p>
    <w:p w14:paraId="1B2F925D" w14:textId="77777777" w:rsidR="006C5AB5" w:rsidRPr="006C5AB5" w:rsidRDefault="006C5AB5" w:rsidP="006C5AB5">
      <w:pPr>
        <w:jc w:val="both"/>
        <w:rPr>
          <w:rFonts w:ascii="Arial" w:hAnsi="Arial" w:cs="Arial"/>
          <w:b/>
          <w:bCs/>
          <w:sz w:val="22"/>
          <w:szCs w:val="22"/>
          <w:u w:val="single"/>
        </w:rPr>
      </w:pPr>
    </w:p>
    <w:p w14:paraId="0B0EC65E" w14:textId="77777777" w:rsidR="006C5AB5" w:rsidRPr="006C5AB5" w:rsidRDefault="006C5AB5" w:rsidP="006C5AB5">
      <w:pPr>
        <w:jc w:val="both"/>
        <w:rPr>
          <w:rFonts w:ascii="Arial" w:hAnsi="Arial" w:cs="Arial"/>
          <w:b/>
          <w:bCs/>
          <w:sz w:val="22"/>
          <w:szCs w:val="22"/>
          <w:u w:val="single"/>
        </w:rPr>
      </w:pPr>
      <w:r w:rsidRPr="006C5AB5">
        <w:rPr>
          <w:rFonts w:ascii="Arial" w:hAnsi="Arial" w:cs="Arial"/>
          <w:b/>
          <w:bCs/>
          <w:sz w:val="22"/>
          <w:szCs w:val="22"/>
          <w:u w:val="single"/>
        </w:rPr>
        <w:t>3.4.6 La Agencia Oficiosa Procesal</w:t>
      </w:r>
    </w:p>
    <w:p w14:paraId="50DCA9B0" w14:textId="77777777" w:rsidR="006C5AB5" w:rsidRPr="006C5AB5" w:rsidRDefault="006C5AB5" w:rsidP="006C5AB5">
      <w:pPr>
        <w:jc w:val="both"/>
        <w:rPr>
          <w:rFonts w:ascii="Arial" w:hAnsi="Arial" w:cs="Arial"/>
          <w:sz w:val="22"/>
          <w:szCs w:val="22"/>
        </w:rPr>
      </w:pPr>
    </w:p>
    <w:p w14:paraId="3C669EDA" w14:textId="77777777" w:rsidR="006C5AB5" w:rsidRPr="006C5AB5" w:rsidRDefault="006C5AB5" w:rsidP="006C5AB5">
      <w:pPr>
        <w:jc w:val="both"/>
        <w:rPr>
          <w:rFonts w:ascii="Arial" w:hAnsi="Arial" w:cs="Arial"/>
          <w:sz w:val="22"/>
          <w:szCs w:val="22"/>
        </w:rPr>
      </w:pPr>
      <w:r w:rsidRPr="006C5AB5">
        <w:rPr>
          <w:rFonts w:ascii="Arial" w:hAnsi="Arial" w:cs="Arial"/>
          <w:sz w:val="22"/>
          <w:szCs w:val="22"/>
        </w:rPr>
        <w:t>La AGENCIA OFICIOSA PROCESAL (o gestion negotiorum procesal) es la figura por la que una persona actúa en un proceso en nombre de otra, SIN tener poder para ello, alegando urgencia y la imposibilidad de obtener la autorización a tiempo.</w:t>
      </w:r>
    </w:p>
    <w:p w14:paraId="47E8E9D6" w14:textId="77777777" w:rsidR="006C5AB5" w:rsidRPr="006C5AB5" w:rsidRDefault="006C5AB5" w:rsidP="006C5AB5">
      <w:pPr>
        <w:jc w:val="both"/>
        <w:rPr>
          <w:rFonts w:ascii="Arial" w:hAnsi="Arial" w:cs="Arial"/>
          <w:sz w:val="22"/>
          <w:szCs w:val="22"/>
        </w:rPr>
      </w:pPr>
      <w:r w:rsidRPr="006C5AB5">
        <w:rPr>
          <w:rFonts w:ascii="Arial" w:hAnsi="Arial" w:cs="Arial"/>
          <w:sz w:val="22"/>
          <w:szCs w:val="22"/>
        </w:rPr>
        <w:t>El artículo 57 del CGP la regula: se permite la agencia oficiosa cuando se invoca que la parte está impedida para comparecer o se encuentra ausente. El agente oficioso debe prestar caución de ratificación: si la parte representada no ratifica la actuación del agente dentro del término que fije el juez, todo lo actuado se considerara ineficaz y el agente responde por los perjuicios causados.</w:t>
      </w:r>
    </w:p>
    <w:p w14:paraId="4D5F8C03" w14:textId="77777777" w:rsidR="006C5AB5" w:rsidRPr="006C5AB5" w:rsidRDefault="006C5AB5" w:rsidP="006C5AB5">
      <w:pPr>
        <w:jc w:val="both"/>
        <w:rPr>
          <w:rFonts w:ascii="Arial" w:hAnsi="Arial" w:cs="Arial"/>
          <w:sz w:val="22"/>
          <w:szCs w:val="22"/>
        </w:rPr>
      </w:pPr>
    </w:p>
    <w:p w14:paraId="658B1DB0" w14:textId="77777777" w:rsidR="006C5AB5" w:rsidRPr="006C5AB5" w:rsidRDefault="006C5AB5" w:rsidP="006C5AB5">
      <w:pPr>
        <w:jc w:val="both"/>
        <w:rPr>
          <w:rFonts w:ascii="Arial" w:hAnsi="Arial" w:cs="Arial"/>
          <w:b/>
          <w:bCs/>
          <w:sz w:val="22"/>
          <w:szCs w:val="22"/>
        </w:rPr>
      </w:pPr>
      <w:r w:rsidRPr="006C5AB5">
        <w:rPr>
          <w:rFonts w:ascii="Arial" w:hAnsi="Arial" w:cs="Arial"/>
          <w:b/>
          <w:bCs/>
          <w:sz w:val="22"/>
          <w:szCs w:val="22"/>
        </w:rPr>
        <w:t>CAPSULA 3.5</w:t>
      </w:r>
    </w:p>
    <w:p w14:paraId="24FED789" w14:textId="77777777" w:rsidR="006C5AB5" w:rsidRPr="006C5AB5" w:rsidRDefault="006C5AB5" w:rsidP="006C5AB5">
      <w:pPr>
        <w:jc w:val="both"/>
        <w:rPr>
          <w:rFonts w:ascii="Arial" w:hAnsi="Arial" w:cs="Arial"/>
          <w:b/>
          <w:bCs/>
          <w:sz w:val="22"/>
          <w:szCs w:val="22"/>
        </w:rPr>
      </w:pPr>
      <w:r w:rsidRPr="006C5AB5">
        <w:rPr>
          <w:rFonts w:ascii="Arial" w:hAnsi="Arial" w:cs="Arial"/>
          <w:b/>
          <w:bCs/>
          <w:sz w:val="22"/>
          <w:szCs w:val="22"/>
        </w:rPr>
        <w:t>LITISCONSORCIO: CUANDO SON VARIAS LAS PARTES</w:t>
      </w:r>
    </w:p>
    <w:p w14:paraId="5F9F5A24" w14:textId="77777777" w:rsidR="006C5AB5" w:rsidRPr="006C5AB5" w:rsidRDefault="006C5AB5" w:rsidP="006C5AB5">
      <w:pPr>
        <w:jc w:val="both"/>
        <w:rPr>
          <w:rFonts w:ascii="Arial" w:hAnsi="Arial" w:cs="Arial"/>
          <w:b/>
          <w:bCs/>
          <w:sz w:val="22"/>
          <w:szCs w:val="22"/>
          <w:u w:val="single"/>
        </w:rPr>
      </w:pPr>
    </w:p>
    <w:p w14:paraId="7F51F9D4" w14:textId="77777777" w:rsidR="006C5AB5" w:rsidRPr="006C5AB5" w:rsidRDefault="006C5AB5" w:rsidP="006C5AB5">
      <w:pPr>
        <w:jc w:val="both"/>
        <w:rPr>
          <w:rFonts w:ascii="Arial" w:hAnsi="Arial" w:cs="Arial"/>
          <w:sz w:val="22"/>
          <w:szCs w:val="22"/>
        </w:rPr>
      </w:pPr>
      <w:r w:rsidRPr="006C5AB5">
        <w:rPr>
          <w:rFonts w:ascii="Arial" w:hAnsi="Arial" w:cs="Arial"/>
          <w:b/>
          <w:bCs/>
          <w:sz w:val="22"/>
          <w:szCs w:val="22"/>
          <w:u w:val="single"/>
        </w:rPr>
        <w:t>3.5.1 Que es el Litisconsorcio?</w:t>
      </w:r>
    </w:p>
    <w:p w14:paraId="06EA49A8" w14:textId="77777777" w:rsidR="006C5AB5" w:rsidRPr="006C5AB5" w:rsidRDefault="006C5AB5" w:rsidP="006C5AB5">
      <w:pPr>
        <w:jc w:val="both"/>
        <w:rPr>
          <w:rFonts w:ascii="Arial" w:hAnsi="Arial" w:cs="Arial"/>
          <w:sz w:val="22"/>
          <w:szCs w:val="22"/>
        </w:rPr>
      </w:pPr>
      <w:r w:rsidRPr="006C5AB5">
        <w:rPr>
          <w:rFonts w:ascii="Arial" w:hAnsi="Arial" w:cs="Arial"/>
          <w:sz w:val="22"/>
          <w:szCs w:val="22"/>
        </w:rPr>
        <w:t>Hasta ahora hemos hablado del proceso como una relacion entre DOS partes: demandante vs. demandado. Pero la realidad juridica es más compleja: muchos conflictos involucran a tres, cuatro o más personas en el mismo lado o en lados opuestos. A esa pluralidad de personas en una misma posición procesal se la denomina LITISCONSORCIO.</w:t>
      </w:r>
    </w:p>
    <w:p w14:paraId="65186D73" w14:textId="77777777" w:rsidR="006C5AB5" w:rsidRPr="006C5AB5" w:rsidRDefault="006C5AB5" w:rsidP="006C5AB5">
      <w:pPr>
        <w:jc w:val="both"/>
        <w:rPr>
          <w:rFonts w:ascii="Arial" w:hAnsi="Arial" w:cs="Arial"/>
          <w:sz w:val="22"/>
          <w:szCs w:val="22"/>
        </w:rPr>
      </w:pPr>
    </w:p>
    <w:p w14:paraId="752BB030" w14:textId="77777777" w:rsidR="006C5AB5" w:rsidRPr="006C5AB5" w:rsidRDefault="006C5AB5" w:rsidP="006C5AB5">
      <w:pPr>
        <w:jc w:val="both"/>
        <w:rPr>
          <w:rFonts w:ascii="Arial" w:hAnsi="Arial" w:cs="Arial"/>
          <w:sz w:val="22"/>
          <w:szCs w:val="22"/>
        </w:rPr>
      </w:pPr>
      <w:r w:rsidRPr="006C5AB5">
        <w:rPr>
          <w:rFonts w:ascii="Arial" w:hAnsi="Arial" w:cs="Arial"/>
          <w:sz w:val="22"/>
          <w:szCs w:val="22"/>
        </w:rPr>
        <w:t>El litisconsorcio es la situación procesal en que dos o más personas figuran como demandantes (litisconsorcio activo) o como demandados (litisconsorcio pasivo), o en ambos lados (litisconsorcio mixto). El artículo 61 del CGP lo regula.</w:t>
      </w:r>
    </w:p>
    <w:p w14:paraId="2813125B" w14:textId="77777777" w:rsidR="006C5AB5" w:rsidRPr="006C5AB5" w:rsidRDefault="006C5AB5" w:rsidP="006C5AB5">
      <w:pPr>
        <w:jc w:val="both"/>
        <w:rPr>
          <w:rFonts w:ascii="Arial" w:hAnsi="Arial" w:cs="Arial"/>
          <w:sz w:val="22"/>
          <w:szCs w:val="22"/>
        </w:rPr>
      </w:pPr>
    </w:p>
    <w:p w14:paraId="7EB3FCB4" w14:textId="77777777" w:rsidR="006C5AB5" w:rsidRPr="006C5AB5" w:rsidRDefault="006C5AB5" w:rsidP="006C5AB5">
      <w:pPr>
        <w:jc w:val="both"/>
        <w:rPr>
          <w:rFonts w:ascii="Arial" w:hAnsi="Arial" w:cs="Arial"/>
          <w:sz w:val="22"/>
          <w:szCs w:val="22"/>
        </w:rPr>
      </w:pPr>
      <w:r w:rsidRPr="006C5AB5">
        <w:rPr>
          <w:rFonts w:ascii="Arial" w:hAnsi="Arial" w:cs="Arial"/>
          <w:sz w:val="22"/>
          <w:szCs w:val="22"/>
        </w:rPr>
        <w:t xml:space="preserve">La importancia practica del litisconsorcio es enorme: si en un proceso que requiere litisconsorcio necesario no se vincula a todos los litisconsortes, la sentencia que se profiera </w:t>
      </w:r>
      <w:r w:rsidRPr="006C5AB5">
        <w:rPr>
          <w:rFonts w:ascii="Arial" w:hAnsi="Arial" w:cs="Arial"/>
          <w:sz w:val="22"/>
          <w:szCs w:val="22"/>
        </w:rPr>
        <w:lastRenderedPageBreak/>
        <w:t>NO PRODUCE efectos de cosa juzgada y puede ser impugnada incluso despues de ejecutoriada.</w:t>
      </w:r>
    </w:p>
    <w:p w14:paraId="59F288D0" w14:textId="77777777" w:rsidR="006C5AB5" w:rsidRPr="006C5AB5" w:rsidRDefault="006C5AB5" w:rsidP="006C5AB5">
      <w:pPr>
        <w:jc w:val="both"/>
        <w:rPr>
          <w:rFonts w:ascii="Arial" w:hAnsi="Arial" w:cs="Arial"/>
          <w:b/>
          <w:bCs/>
          <w:sz w:val="22"/>
          <w:szCs w:val="22"/>
          <w:u w:val="single"/>
        </w:rPr>
      </w:pPr>
    </w:p>
    <w:p w14:paraId="4877847B" w14:textId="77777777" w:rsidR="006C5AB5" w:rsidRPr="006C5AB5" w:rsidRDefault="006C5AB5" w:rsidP="006C5AB5">
      <w:pPr>
        <w:jc w:val="both"/>
        <w:rPr>
          <w:rFonts w:ascii="Arial" w:hAnsi="Arial" w:cs="Arial"/>
          <w:sz w:val="22"/>
          <w:szCs w:val="22"/>
        </w:rPr>
      </w:pPr>
      <w:r w:rsidRPr="006C5AB5">
        <w:rPr>
          <w:rFonts w:ascii="Arial" w:hAnsi="Arial" w:cs="Arial"/>
          <w:b/>
          <w:bCs/>
          <w:sz w:val="22"/>
          <w:szCs w:val="22"/>
          <w:u w:val="single"/>
        </w:rPr>
        <w:t>3.5.2 Litisconsorcio Facultativo</w:t>
      </w:r>
    </w:p>
    <w:p w14:paraId="2C223242" w14:textId="77777777" w:rsidR="006C5AB5" w:rsidRPr="006C5AB5" w:rsidRDefault="006C5AB5" w:rsidP="006C5AB5">
      <w:pPr>
        <w:jc w:val="both"/>
        <w:rPr>
          <w:rFonts w:ascii="Arial" w:hAnsi="Arial" w:cs="Arial"/>
          <w:sz w:val="22"/>
          <w:szCs w:val="22"/>
        </w:rPr>
      </w:pPr>
      <w:r w:rsidRPr="006C5AB5">
        <w:rPr>
          <w:rFonts w:ascii="Arial" w:hAnsi="Arial" w:cs="Arial"/>
          <w:sz w:val="22"/>
          <w:szCs w:val="22"/>
        </w:rPr>
        <w:t>El LITISCONSORCIO FACULTATIVO (Art. 61 inc. 1 CGP) es aquel en que varias personas pueden demandar juntas o ser demandadas juntas, pero no estan obligadas a hacerlo. La acumulación es OPCIONAL.</w:t>
      </w:r>
    </w:p>
    <w:p w14:paraId="36EEE412" w14:textId="77777777" w:rsidR="006C5AB5" w:rsidRPr="006C5AB5" w:rsidRDefault="006C5AB5" w:rsidP="006C5AB5">
      <w:pPr>
        <w:jc w:val="both"/>
        <w:rPr>
          <w:rFonts w:ascii="Arial" w:hAnsi="Arial" w:cs="Arial"/>
          <w:sz w:val="22"/>
          <w:szCs w:val="22"/>
        </w:rPr>
      </w:pPr>
    </w:p>
    <w:p w14:paraId="05B05511" w14:textId="77777777" w:rsidR="006C5AB5" w:rsidRPr="006C5AB5" w:rsidRDefault="006C5AB5" w:rsidP="006C5AB5">
      <w:pPr>
        <w:jc w:val="both"/>
        <w:rPr>
          <w:rFonts w:ascii="Arial" w:hAnsi="Arial" w:cs="Arial"/>
          <w:sz w:val="22"/>
          <w:szCs w:val="22"/>
        </w:rPr>
      </w:pPr>
      <w:r w:rsidRPr="006C5AB5">
        <w:rPr>
          <w:rFonts w:ascii="Arial" w:hAnsi="Arial" w:cs="Arial"/>
          <w:sz w:val="22"/>
          <w:szCs w:val="22"/>
        </w:rPr>
        <w:t>Se presenta cuando varias personas tienen pretensiones independientes pero conexas: comparten el mismo origen jurídico o factual. Cada litisconsorte facultativo es independiente: puede realizar actos procesales por separado, pueden tener distintos abogados, y la sentencia puede ser diferente para cada uno de ellos.</w:t>
      </w:r>
    </w:p>
    <w:p w14:paraId="58BC2E70" w14:textId="77777777" w:rsidR="006C5AB5" w:rsidRPr="006C5AB5" w:rsidRDefault="006C5AB5" w:rsidP="006C5AB5">
      <w:pPr>
        <w:jc w:val="both"/>
        <w:rPr>
          <w:rFonts w:ascii="Arial" w:hAnsi="Arial" w:cs="Arial"/>
          <w:sz w:val="22"/>
          <w:szCs w:val="22"/>
        </w:rPr>
      </w:pPr>
    </w:p>
    <w:tbl>
      <w:tblPr>
        <w:tblW w:w="0" w:type="auto"/>
        <w:tblCellMar>
          <w:top w:w="15" w:type="dxa"/>
          <w:left w:w="15" w:type="dxa"/>
          <w:bottom w:w="15" w:type="dxa"/>
          <w:right w:w="15" w:type="dxa"/>
        </w:tblCellMar>
        <w:tblLook w:val="04A0" w:firstRow="1" w:lastRow="0" w:firstColumn="1" w:lastColumn="0" w:noHBand="0" w:noVBand="1"/>
      </w:tblPr>
      <w:tblGrid>
        <w:gridCol w:w="8828"/>
      </w:tblGrid>
      <w:tr w:rsidR="006C5AB5" w:rsidRPr="006C5AB5" w14:paraId="1708F3F0"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D4EDDA"/>
            <w:tcMar>
              <w:top w:w="140" w:type="dxa"/>
              <w:left w:w="200" w:type="dxa"/>
              <w:bottom w:w="140" w:type="dxa"/>
              <w:right w:w="200" w:type="dxa"/>
            </w:tcMar>
            <w:hideMark/>
          </w:tcPr>
          <w:p w14:paraId="464E608B" w14:textId="77777777" w:rsidR="006C5AB5" w:rsidRPr="006C5AB5" w:rsidRDefault="006C5AB5" w:rsidP="00DD2DD5">
            <w:pPr>
              <w:jc w:val="both"/>
              <w:rPr>
                <w:rFonts w:ascii="Arial" w:hAnsi="Arial" w:cs="Arial"/>
                <w:sz w:val="22"/>
                <w:szCs w:val="22"/>
              </w:rPr>
            </w:pPr>
            <w:r w:rsidRPr="006C5AB5">
              <w:rPr>
                <w:rFonts w:ascii="Arial" w:hAnsi="Arial" w:cs="Arial"/>
                <w:b/>
                <w:bCs/>
                <w:sz w:val="22"/>
                <w:szCs w:val="22"/>
              </w:rPr>
              <w:t>EJEMPLOS DE LITISCONSORCIO FACULTATIVO</w:t>
            </w:r>
          </w:p>
          <w:p w14:paraId="47DA96E0" w14:textId="77777777" w:rsidR="006C5AB5" w:rsidRPr="006C5AB5" w:rsidRDefault="006C5AB5" w:rsidP="00DD2DD5">
            <w:pPr>
              <w:jc w:val="both"/>
              <w:rPr>
                <w:rFonts w:ascii="Arial" w:hAnsi="Arial" w:cs="Arial"/>
                <w:sz w:val="22"/>
                <w:szCs w:val="22"/>
              </w:rPr>
            </w:pPr>
            <w:r w:rsidRPr="006C5AB5">
              <w:rPr>
                <w:rFonts w:ascii="Arial" w:hAnsi="Arial" w:cs="Arial"/>
                <w:b/>
                <w:bCs/>
                <w:sz w:val="22"/>
                <w:szCs w:val="22"/>
              </w:rPr>
              <w:t xml:space="preserve">Ejemplo 1: </w:t>
            </w:r>
            <w:r w:rsidRPr="006C5AB5">
              <w:rPr>
                <w:rFonts w:ascii="Arial" w:hAnsi="Arial" w:cs="Arial"/>
                <w:sz w:val="22"/>
                <w:szCs w:val="22"/>
              </w:rPr>
              <w:t>Tres pasajeros de un mismo bus fueron lesionados en un accidente. Cada uno tiene su propia pretensión (sus propios perjuicios) pero comparten el mismo origen factual (el mismo accidente). Pueden demandar juntos (litisconsorcio activo facultativo) o cada uno por separado.</w:t>
            </w:r>
          </w:p>
          <w:p w14:paraId="27DAFC2C" w14:textId="77777777" w:rsidR="006C5AB5" w:rsidRPr="006C5AB5" w:rsidRDefault="006C5AB5" w:rsidP="00DD2DD5">
            <w:pPr>
              <w:jc w:val="both"/>
              <w:rPr>
                <w:rFonts w:ascii="Arial" w:hAnsi="Arial" w:cs="Arial"/>
                <w:sz w:val="22"/>
                <w:szCs w:val="22"/>
              </w:rPr>
            </w:pPr>
            <w:r w:rsidRPr="006C5AB5">
              <w:rPr>
                <w:rFonts w:ascii="Arial" w:hAnsi="Arial" w:cs="Arial"/>
                <w:b/>
                <w:bCs/>
                <w:sz w:val="22"/>
                <w:szCs w:val="22"/>
              </w:rPr>
              <w:t xml:space="preserve">Ejemplo 2: </w:t>
            </w:r>
            <w:r w:rsidRPr="006C5AB5">
              <w:rPr>
                <w:rFonts w:ascii="Arial" w:hAnsi="Arial" w:cs="Arial"/>
                <w:sz w:val="22"/>
                <w:szCs w:val="22"/>
              </w:rPr>
              <w:t>Un prestamista tiene tres deudores distintos con créditos independientes. Puede demandarlos en procesos separados o acumular las demandas en un solo proceso (litisconsorcio pasivo facultativo), si la cuantia lo permite y el mismo juez es competente para todos.</w:t>
            </w:r>
          </w:p>
        </w:tc>
      </w:tr>
    </w:tbl>
    <w:p w14:paraId="4D82EA65" w14:textId="77777777" w:rsidR="006C5AB5" w:rsidRPr="006C5AB5" w:rsidRDefault="006C5AB5" w:rsidP="006C5AB5">
      <w:pPr>
        <w:jc w:val="both"/>
        <w:rPr>
          <w:rFonts w:ascii="Arial" w:hAnsi="Arial" w:cs="Arial"/>
          <w:sz w:val="22"/>
          <w:szCs w:val="22"/>
        </w:rPr>
      </w:pPr>
    </w:p>
    <w:p w14:paraId="326704FA" w14:textId="77777777" w:rsidR="006C5AB5" w:rsidRPr="006C5AB5" w:rsidRDefault="006C5AB5" w:rsidP="006C5AB5">
      <w:pPr>
        <w:jc w:val="both"/>
        <w:rPr>
          <w:rFonts w:ascii="Arial" w:hAnsi="Arial" w:cs="Arial"/>
          <w:b/>
          <w:bCs/>
          <w:sz w:val="22"/>
          <w:szCs w:val="22"/>
          <w:u w:val="single"/>
        </w:rPr>
      </w:pPr>
      <w:r w:rsidRPr="006C5AB5">
        <w:rPr>
          <w:rFonts w:ascii="Arial" w:hAnsi="Arial" w:cs="Arial"/>
          <w:b/>
          <w:bCs/>
          <w:sz w:val="22"/>
          <w:szCs w:val="22"/>
          <w:u w:val="single"/>
        </w:rPr>
        <w:t>3.5.3 Litisconsorcio Necesario</w:t>
      </w:r>
    </w:p>
    <w:p w14:paraId="3536ADF5" w14:textId="77777777" w:rsidR="006C5AB5" w:rsidRPr="006C5AB5" w:rsidRDefault="006C5AB5" w:rsidP="006C5AB5">
      <w:pPr>
        <w:jc w:val="both"/>
        <w:rPr>
          <w:rFonts w:ascii="Arial" w:hAnsi="Arial" w:cs="Arial"/>
          <w:sz w:val="22"/>
          <w:szCs w:val="22"/>
        </w:rPr>
      </w:pPr>
    </w:p>
    <w:p w14:paraId="0DBC6041" w14:textId="77777777" w:rsidR="006C5AB5" w:rsidRPr="006C5AB5" w:rsidRDefault="006C5AB5" w:rsidP="006C5AB5">
      <w:pPr>
        <w:jc w:val="both"/>
        <w:rPr>
          <w:rFonts w:ascii="Arial" w:hAnsi="Arial" w:cs="Arial"/>
          <w:sz w:val="22"/>
          <w:szCs w:val="22"/>
        </w:rPr>
      </w:pPr>
      <w:r w:rsidRPr="006C5AB5">
        <w:rPr>
          <w:rFonts w:ascii="Arial" w:hAnsi="Arial" w:cs="Arial"/>
          <w:sz w:val="22"/>
          <w:szCs w:val="22"/>
        </w:rPr>
        <w:t>El LITISCONSORCIO NECESARIO (Art. 61 inc. 2 CGP) es el de mayor importancia practica: se presenta cuando la pretensión que se ejercita afecta de manera tan intima e inescindible a varias personas, que la sentencia solo puede dictarse variamente si TODAS ellas han sido vinculadas al proceso. No es una opción: es una obligación.</w:t>
      </w:r>
    </w:p>
    <w:p w14:paraId="0EC565B3" w14:textId="77777777" w:rsidR="006C5AB5" w:rsidRPr="006C5AB5" w:rsidRDefault="006C5AB5" w:rsidP="006C5AB5">
      <w:pPr>
        <w:jc w:val="both"/>
        <w:rPr>
          <w:rFonts w:ascii="Arial" w:hAnsi="Arial" w:cs="Arial"/>
          <w:sz w:val="22"/>
          <w:szCs w:val="22"/>
        </w:rPr>
      </w:pPr>
    </w:p>
    <w:p w14:paraId="45DB2D76" w14:textId="77777777" w:rsidR="006C5AB5" w:rsidRPr="006C5AB5" w:rsidRDefault="006C5AB5" w:rsidP="006C5AB5">
      <w:pPr>
        <w:jc w:val="both"/>
        <w:rPr>
          <w:rFonts w:ascii="Arial" w:hAnsi="Arial" w:cs="Arial"/>
          <w:sz w:val="22"/>
          <w:szCs w:val="22"/>
        </w:rPr>
      </w:pPr>
      <w:r w:rsidRPr="006C5AB5">
        <w:rPr>
          <w:rFonts w:ascii="Arial" w:hAnsi="Arial" w:cs="Arial"/>
          <w:sz w:val="22"/>
          <w:szCs w:val="22"/>
        </w:rPr>
        <w:t>La razon de fondo es el principio de contradicción y el derecho al debido proceso: nadie puede ser afectado por una sentencia en un proceso en el que no fue oído. Si la pretensión altera necesariamente la situación juridica de varias personas, todas deben poder defenderse.</w:t>
      </w:r>
    </w:p>
    <w:p w14:paraId="046BF2DE" w14:textId="77777777" w:rsidR="006C5AB5" w:rsidRPr="006C5AB5" w:rsidRDefault="006C5AB5" w:rsidP="006C5AB5">
      <w:pPr>
        <w:jc w:val="both"/>
        <w:rPr>
          <w:rFonts w:ascii="Arial" w:hAnsi="Arial" w:cs="Arial"/>
          <w:sz w:val="22"/>
          <w:szCs w:val="22"/>
        </w:rPr>
      </w:pPr>
    </w:p>
    <w:tbl>
      <w:tblPr>
        <w:tblW w:w="0" w:type="auto"/>
        <w:tblCellMar>
          <w:top w:w="15" w:type="dxa"/>
          <w:left w:w="15" w:type="dxa"/>
          <w:bottom w:w="15" w:type="dxa"/>
          <w:right w:w="15" w:type="dxa"/>
        </w:tblCellMar>
        <w:tblLook w:val="04A0" w:firstRow="1" w:lastRow="0" w:firstColumn="1" w:lastColumn="0" w:noHBand="0" w:noVBand="1"/>
      </w:tblPr>
      <w:tblGrid>
        <w:gridCol w:w="8828"/>
      </w:tblGrid>
      <w:tr w:rsidR="006C5AB5" w:rsidRPr="006C5AB5" w14:paraId="507CAF25"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DEDEC"/>
            <w:tcMar>
              <w:top w:w="140" w:type="dxa"/>
              <w:left w:w="200" w:type="dxa"/>
              <w:bottom w:w="140" w:type="dxa"/>
              <w:right w:w="200" w:type="dxa"/>
            </w:tcMar>
            <w:hideMark/>
          </w:tcPr>
          <w:p w14:paraId="3C50F0D0" w14:textId="77777777" w:rsidR="006C5AB5" w:rsidRPr="006C5AB5" w:rsidRDefault="006C5AB5" w:rsidP="00DD2DD5">
            <w:pPr>
              <w:jc w:val="both"/>
              <w:rPr>
                <w:rFonts w:ascii="Arial" w:hAnsi="Arial" w:cs="Arial"/>
                <w:sz w:val="22"/>
                <w:szCs w:val="22"/>
              </w:rPr>
            </w:pPr>
            <w:r w:rsidRPr="006C5AB5">
              <w:rPr>
                <w:rFonts w:ascii="Arial" w:hAnsi="Arial" w:cs="Arial"/>
                <w:b/>
                <w:bCs/>
                <w:sz w:val="22"/>
                <w:szCs w:val="22"/>
              </w:rPr>
              <w:t>EJEMPLOS DE LITISCONSORCIO NECESARIO</w:t>
            </w:r>
          </w:p>
          <w:p w14:paraId="08331DF4" w14:textId="77777777" w:rsidR="006C5AB5" w:rsidRPr="006C5AB5" w:rsidRDefault="006C5AB5" w:rsidP="00DD2DD5">
            <w:pPr>
              <w:jc w:val="both"/>
              <w:rPr>
                <w:rFonts w:ascii="Arial" w:hAnsi="Arial" w:cs="Arial"/>
                <w:sz w:val="22"/>
                <w:szCs w:val="22"/>
              </w:rPr>
            </w:pPr>
            <w:r w:rsidRPr="006C5AB5">
              <w:rPr>
                <w:rFonts w:ascii="Arial" w:hAnsi="Arial" w:cs="Arial"/>
                <w:b/>
                <w:bCs/>
                <w:sz w:val="22"/>
                <w:szCs w:val="22"/>
              </w:rPr>
              <w:t xml:space="preserve">Ejemplo 1 - Nulidad de contrato con varios suscriptores: </w:t>
            </w:r>
            <w:r w:rsidRPr="006C5AB5">
              <w:rPr>
                <w:rFonts w:ascii="Arial" w:hAnsi="Arial" w:cs="Arial"/>
                <w:sz w:val="22"/>
                <w:szCs w:val="22"/>
              </w:rPr>
              <w:t>Carolina, Diego y Enrique firmaron juntos un contrato de sociedad. Si Fernanda quiere demandar la nulidad de ese contrato, DEBE demandar a los tres. Si solo demanda a uno o dos, la sentencia no puede afectar el contrato porque el tercero no fue oído. El proceso seria nulo.</w:t>
            </w:r>
          </w:p>
          <w:p w14:paraId="2C10CA92" w14:textId="77777777" w:rsidR="006C5AB5" w:rsidRPr="006C5AB5" w:rsidRDefault="006C5AB5" w:rsidP="00DD2DD5">
            <w:pPr>
              <w:jc w:val="both"/>
              <w:rPr>
                <w:rFonts w:ascii="Arial" w:hAnsi="Arial" w:cs="Arial"/>
                <w:sz w:val="22"/>
                <w:szCs w:val="22"/>
              </w:rPr>
            </w:pPr>
            <w:r w:rsidRPr="006C5AB5">
              <w:rPr>
                <w:rFonts w:ascii="Arial" w:hAnsi="Arial" w:cs="Arial"/>
                <w:b/>
                <w:bCs/>
                <w:sz w:val="22"/>
                <w:szCs w:val="22"/>
              </w:rPr>
              <w:t xml:space="preserve">Ejemplo 2 - Partición de herencia: </w:t>
            </w:r>
            <w:r w:rsidRPr="006C5AB5">
              <w:rPr>
                <w:rFonts w:ascii="Arial" w:hAnsi="Arial" w:cs="Arial"/>
                <w:sz w:val="22"/>
                <w:szCs w:val="22"/>
              </w:rPr>
              <w:t>Tres herederos son copropietarios de un bien inmueble que pertenecía al causante. Si uno quiere pedir la partición y adjudicación, debe vincular a TODOS los coherede rosco -propietarios. No puede pedir la partición solo contra uno de ellos.</w:t>
            </w:r>
          </w:p>
          <w:p w14:paraId="1B380DF8" w14:textId="77777777" w:rsidR="006C5AB5" w:rsidRPr="006C5AB5" w:rsidRDefault="006C5AB5" w:rsidP="00DD2DD5">
            <w:pPr>
              <w:jc w:val="both"/>
              <w:rPr>
                <w:rFonts w:ascii="Arial" w:hAnsi="Arial" w:cs="Arial"/>
                <w:sz w:val="22"/>
                <w:szCs w:val="22"/>
              </w:rPr>
            </w:pPr>
            <w:r w:rsidRPr="006C5AB5">
              <w:rPr>
                <w:rFonts w:ascii="Arial" w:hAnsi="Arial" w:cs="Arial"/>
                <w:b/>
                <w:bCs/>
                <w:sz w:val="22"/>
                <w:szCs w:val="22"/>
              </w:rPr>
              <w:t xml:space="preserve">Ejemplo 3 - Simulación de contrato: </w:t>
            </w:r>
            <w:r w:rsidRPr="006C5AB5">
              <w:rPr>
                <w:rFonts w:ascii="Arial" w:hAnsi="Arial" w:cs="Arial"/>
                <w:sz w:val="22"/>
                <w:szCs w:val="22"/>
              </w:rPr>
              <w:t>Un padre simulo vender su casa a su hijo para defraudar a sus acreedores. El acreedor quiere demandar la simulación. Debe demandar TANTO al padre como al hijo: ambos son parte en el negocio simulado y ambos deben ser oídos.</w:t>
            </w:r>
          </w:p>
        </w:tc>
      </w:tr>
    </w:tbl>
    <w:p w14:paraId="5A58064A" w14:textId="77777777" w:rsidR="006C5AB5" w:rsidRPr="006C5AB5" w:rsidRDefault="006C5AB5" w:rsidP="006C5AB5">
      <w:pPr>
        <w:jc w:val="both"/>
        <w:rPr>
          <w:rFonts w:ascii="Arial" w:hAnsi="Arial" w:cs="Arial"/>
          <w:sz w:val="22"/>
          <w:szCs w:val="22"/>
        </w:rPr>
      </w:pPr>
    </w:p>
    <w:p w14:paraId="7DF63BA4" w14:textId="77777777" w:rsidR="006C5AB5" w:rsidRPr="006C5AB5" w:rsidRDefault="006C5AB5" w:rsidP="006C5AB5">
      <w:pPr>
        <w:jc w:val="both"/>
        <w:rPr>
          <w:rFonts w:ascii="Arial" w:hAnsi="Arial" w:cs="Arial"/>
          <w:sz w:val="22"/>
          <w:szCs w:val="22"/>
        </w:rPr>
      </w:pPr>
      <w:r w:rsidRPr="006C5AB5">
        <w:rPr>
          <w:rFonts w:ascii="Arial" w:hAnsi="Arial" w:cs="Arial"/>
          <w:b/>
          <w:bCs/>
          <w:sz w:val="22"/>
          <w:szCs w:val="22"/>
          <w:u w:val="single"/>
        </w:rPr>
        <w:lastRenderedPageBreak/>
        <w:t>3.5.4 Consecuencias Procesales del Litisconsorcio Necesario</w:t>
      </w:r>
    </w:p>
    <w:p w14:paraId="6A5AFEF5" w14:textId="77777777" w:rsidR="006C5AB5" w:rsidRPr="006C5AB5" w:rsidRDefault="006C5AB5" w:rsidP="006C5AB5">
      <w:pPr>
        <w:jc w:val="both"/>
        <w:rPr>
          <w:rFonts w:ascii="Arial" w:hAnsi="Arial" w:cs="Arial"/>
          <w:sz w:val="22"/>
          <w:szCs w:val="22"/>
        </w:rPr>
      </w:pPr>
      <w:r w:rsidRPr="006C5AB5">
        <w:rPr>
          <w:rFonts w:ascii="Arial" w:hAnsi="Arial" w:cs="Arial"/>
          <w:sz w:val="22"/>
          <w:szCs w:val="22"/>
        </w:rPr>
        <w:t>Las consecuencias de no integrar correctamente el litisconsorcio necesario son severas:</w:t>
      </w:r>
    </w:p>
    <w:p w14:paraId="3FF3EAED" w14:textId="77777777" w:rsidR="006C5AB5" w:rsidRPr="006C5AB5" w:rsidRDefault="006C5AB5" w:rsidP="006C5AB5">
      <w:pPr>
        <w:numPr>
          <w:ilvl w:val="0"/>
          <w:numId w:val="29"/>
        </w:numPr>
        <w:jc w:val="both"/>
        <w:rPr>
          <w:rFonts w:ascii="Arial" w:hAnsi="Arial" w:cs="Arial"/>
          <w:sz w:val="22"/>
          <w:szCs w:val="22"/>
        </w:rPr>
      </w:pPr>
      <w:r w:rsidRPr="006C5AB5">
        <w:rPr>
          <w:rFonts w:ascii="Arial" w:hAnsi="Arial" w:cs="Arial"/>
          <w:sz w:val="22"/>
          <w:szCs w:val="22"/>
        </w:rPr>
        <w:t>Si el demandante no incluye a todos los litisconsortes necesarios en la demanda, el juez debe ordenar la integración del contradictorio (Art. 61 inc. 2 CGP). Le da al demandante un plazo para integrar el litisconsorcio.</w:t>
      </w:r>
    </w:p>
    <w:p w14:paraId="0B884B7C" w14:textId="77777777" w:rsidR="006C5AB5" w:rsidRPr="006C5AB5" w:rsidRDefault="006C5AB5" w:rsidP="006C5AB5">
      <w:pPr>
        <w:numPr>
          <w:ilvl w:val="0"/>
          <w:numId w:val="29"/>
        </w:numPr>
        <w:jc w:val="both"/>
        <w:rPr>
          <w:rFonts w:ascii="Arial" w:hAnsi="Arial" w:cs="Arial"/>
          <w:sz w:val="22"/>
          <w:szCs w:val="22"/>
        </w:rPr>
      </w:pPr>
      <w:r w:rsidRPr="006C5AB5">
        <w:rPr>
          <w:rFonts w:ascii="Arial" w:hAnsi="Arial" w:cs="Arial"/>
          <w:sz w:val="22"/>
          <w:szCs w:val="22"/>
        </w:rPr>
        <w:t>Si el demandante no integra el litisconsorcio en el plazo fijado, el juez decretara la terminación del proceso.</w:t>
      </w:r>
    </w:p>
    <w:p w14:paraId="06C48F2B" w14:textId="77777777" w:rsidR="006C5AB5" w:rsidRPr="006C5AB5" w:rsidRDefault="006C5AB5" w:rsidP="006C5AB5">
      <w:pPr>
        <w:numPr>
          <w:ilvl w:val="0"/>
          <w:numId w:val="29"/>
        </w:numPr>
        <w:jc w:val="both"/>
        <w:rPr>
          <w:rFonts w:ascii="Arial" w:hAnsi="Arial" w:cs="Arial"/>
          <w:sz w:val="22"/>
          <w:szCs w:val="22"/>
        </w:rPr>
      </w:pPr>
      <w:r w:rsidRPr="006C5AB5">
        <w:rPr>
          <w:rFonts w:ascii="Arial" w:hAnsi="Arial" w:cs="Arial"/>
          <w:sz w:val="22"/>
          <w:szCs w:val="22"/>
        </w:rPr>
        <w:t>Los actos procesales del litisconsorte necesario que actúa FAVORECEN a quienes no actuaron. Pero los actos que les perjudican solo los afectan si ellos tambien los realizaron (principio de autonomía).</w:t>
      </w:r>
    </w:p>
    <w:p w14:paraId="3DB52429" w14:textId="77777777" w:rsidR="006C5AB5" w:rsidRPr="006C5AB5" w:rsidRDefault="006C5AB5" w:rsidP="006C5AB5">
      <w:pPr>
        <w:numPr>
          <w:ilvl w:val="0"/>
          <w:numId w:val="29"/>
        </w:numPr>
        <w:jc w:val="both"/>
        <w:rPr>
          <w:rFonts w:ascii="Arial" w:hAnsi="Arial" w:cs="Arial"/>
          <w:sz w:val="22"/>
          <w:szCs w:val="22"/>
        </w:rPr>
      </w:pPr>
      <w:r w:rsidRPr="006C5AB5">
        <w:rPr>
          <w:rFonts w:ascii="Arial" w:hAnsi="Arial" w:cs="Arial"/>
          <w:sz w:val="22"/>
          <w:szCs w:val="22"/>
        </w:rPr>
        <w:t>La sentencia es única para todos los litisconsortes necesarios: no puede haber sentencia diferente para unos que para otros en los aspectos que los vinculan entre sí.</w:t>
      </w:r>
    </w:p>
    <w:p w14:paraId="693913EE" w14:textId="77777777" w:rsidR="006C5AB5" w:rsidRPr="006C5AB5" w:rsidRDefault="006C5AB5" w:rsidP="006C5AB5">
      <w:pPr>
        <w:jc w:val="both"/>
        <w:rPr>
          <w:rFonts w:ascii="Arial" w:hAnsi="Arial" w:cs="Arial"/>
          <w:sz w:val="22"/>
          <w:szCs w:val="22"/>
        </w:rPr>
      </w:pPr>
      <w:r w:rsidRPr="006C5AB5">
        <w:rPr>
          <w:rFonts w:ascii="Arial" w:hAnsi="Arial" w:cs="Arial"/>
          <w:b/>
          <w:bCs/>
          <w:sz w:val="22"/>
          <w:szCs w:val="22"/>
          <w:u w:val="single"/>
        </w:rPr>
        <w:t>3.5.5 El Litisconsorcio Cuasi necesario</w:t>
      </w:r>
    </w:p>
    <w:p w14:paraId="4DBE85E6" w14:textId="77777777" w:rsidR="006C5AB5" w:rsidRPr="006C5AB5" w:rsidRDefault="006C5AB5" w:rsidP="006C5AB5">
      <w:pPr>
        <w:jc w:val="both"/>
        <w:rPr>
          <w:rFonts w:ascii="Arial" w:hAnsi="Arial" w:cs="Arial"/>
          <w:sz w:val="22"/>
          <w:szCs w:val="22"/>
        </w:rPr>
      </w:pPr>
      <w:r w:rsidRPr="006C5AB5">
        <w:rPr>
          <w:rFonts w:ascii="Arial" w:hAnsi="Arial" w:cs="Arial"/>
          <w:sz w:val="22"/>
          <w:szCs w:val="22"/>
        </w:rPr>
        <w:t>El CGP de 2012 introdujo una figura intermedia: el LITISCONSORCIO CUASI NECESARIO. Es aquel en que varias personas estan legitimadas para intervenir en un proceso pero no es indispensable que todas lo hagan para que la sentencia sea válida. Sin embargo, si alguna de ellas no interviene, la sentencia no le es oponible.</w:t>
      </w:r>
    </w:p>
    <w:p w14:paraId="2123ACBC" w14:textId="77777777" w:rsidR="006C5AB5" w:rsidRPr="006C5AB5" w:rsidRDefault="006C5AB5" w:rsidP="006C5AB5">
      <w:pPr>
        <w:jc w:val="both"/>
        <w:rPr>
          <w:rFonts w:ascii="Arial" w:hAnsi="Arial" w:cs="Arial"/>
          <w:sz w:val="22"/>
          <w:szCs w:val="22"/>
        </w:rPr>
      </w:pPr>
      <w:r w:rsidRPr="006C5AB5">
        <w:rPr>
          <w:rFonts w:ascii="Arial" w:hAnsi="Arial" w:cs="Arial"/>
          <w:sz w:val="22"/>
          <w:szCs w:val="22"/>
        </w:rPr>
        <w:t>Un ejemplo típico: cuando se demanda la responsabilidad civil extracontractual de varias personas solidariamente responsables (conductor + propietario del vehículo + aseguradora), el demandante puede demandar a todos o solo a algunos. La sentencia afectara solo a quienes hayan sido demandados y vinculados al proceso.</w:t>
      </w:r>
    </w:p>
    <w:p w14:paraId="70A67C83" w14:textId="77777777" w:rsidR="006C5AB5" w:rsidRPr="006C5AB5" w:rsidRDefault="006C5AB5" w:rsidP="006C5AB5">
      <w:pPr>
        <w:jc w:val="both"/>
        <w:rPr>
          <w:rFonts w:ascii="Arial" w:hAnsi="Arial" w:cs="Arial"/>
          <w:sz w:val="22"/>
          <w:szCs w:val="22"/>
        </w:rPr>
      </w:pPr>
    </w:p>
    <w:p w14:paraId="3E03B416" w14:textId="77777777" w:rsidR="006C5AB5" w:rsidRPr="006C5AB5" w:rsidRDefault="006C5AB5" w:rsidP="006C5AB5">
      <w:pPr>
        <w:jc w:val="both"/>
        <w:rPr>
          <w:rFonts w:ascii="Arial" w:hAnsi="Arial" w:cs="Arial"/>
          <w:b/>
          <w:bCs/>
          <w:sz w:val="22"/>
          <w:szCs w:val="22"/>
        </w:rPr>
      </w:pPr>
      <w:r w:rsidRPr="006C5AB5">
        <w:rPr>
          <w:rFonts w:ascii="Arial" w:hAnsi="Arial" w:cs="Arial"/>
          <w:b/>
          <w:bCs/>
          <w:sz w:val="22"/>
          <w:szCs w:val="22"/>
        </w:rPr>
        <w:t>CAPSULA 3.6</w:t>
      </w:r>
    </w:p>
    <w:p w14:paraId="2F208BA1" w14:textId="77777777" w:rsidR="006C5AB5" w:rsidRPr="006C5AB5" w:rsidRDefault="006C5AB5" w:rsidP="006C5AB5">
      <w:pPr>
        <w:jc w:val="both"/>
        <w:rPr>
          <w:rFonts w:ascii="Arial" w:hAnsi="Arial" w:cs="Arial"/>
          <w:b/>
          <w:bCs/>
          <w:sz w:val="22"/>
          <w:szCs w:val="22"/>
        </w:rPr>
      </w:pPr>
      <w:r w:rsidRPr="006C5AB5">
        <w:rPr>
          <w:rFonts w:ascii="Arial" w:hAnsi="Arial" w:cs="Arial"/>
          <w:b/>
          <w:bCs/>
          <w:sz w:val="22"/>
          <w:szCs w:val="22"/>
        </w:rPr>
        <w:t>INTERVENCIÓN DE TERCEROS EN EL PROCESO</w:t>
      </w:r>
    </w:p>
    <w:p w14:paraId="0E997EF3" w14:textId="77777777" w:rsidR="006C5AB5" w:rsidRPr="006C5AB5" w:rsidRDefault="006C5AB5" w:rsidP="006C5AB5">
      <w:pPr>
        <w:jc w:val="both"/>
        <w:rPr>
          <w:rFonts w:ascii="Arial" w:hAnsi="Arial" w:cs="Arial"/>
          <w:b/>
          <w:bCs/>
          <w:sz w:val="22"/>
          <w:szCs w:val="22"/>
          <w:u w:val="single"/>
        </w:rPr>
      </w:pPr>
      <w:r w:rsidRPr="006C5AB5">
        <w:rPr>
          <w:rFonts w:ascii="Arial" w:hAnsi="Arial" w:cs="Arial"/>
          <w:b/>
          <w:bCs/>
          <w:sz w:val="22"/>
          <w:szCs w:val="22"/>
          <w:u w:val="single"/>
        </w:rPr>
        <w:t>3.6.1 Porque Pueden Intervenir Terceros?</w:t>
      </w:r>
    </w:p>
    <w:p w14:paraId="31A7F37D" w14:textId="77777777" w:rsidR="006C5AB5" w:rsidRPr="006C5AB5" w:rsidRDefault="006C5AB5" w:rsidP="006C5AB5">
      <w:pPr>
        <w:jc w:val="both"/>
        <w:rPr>
          <w:rFonts w:ascii="Arial" w:hAnsi="Arial" w:cs="Arial"/>
          <w:sz w:val="22"/>
          <w:szCs w:val="22"/>
        </w:rPr>
      </w:pPr>
    </w:p>
    <w:p w14:paraId="1334D9A1" w14:textId="77777777" w:rsidR="006C5AB5" w:rsidRPr="006C5AB5" w:rsidRDefault="006C5AB5" w:rsidP="006C5AB5">
      <w:pPr>
        <w:jc w:val="both"/>
        <w:rPr>
          <w:rFonts w:ascii="Arial" w:hAnsi="Arial" w:cs="Arial"/>
          <w:sz w:val="22"/>
          <w:szCs w:val="22"/>
        </w:rPr>
      </w:pPr>
      <w:r w:rsidRPr="006C5AB5">
        <w:rPr>
          <w:rFonts w:ascii="Arial" w:hAnsi="Arial" w:cs="Arial"/>
          <w:sz w:val="22"/>
          <w:szCs w:val="22"/>
        </w:rPr>
        <w:t>El proceso civil no siempre se limita a los que iniciaron el conflicto. Hay personas que, sin ser parte original del proceso, tienen un interés jurídico en su resultado y el CGP les permite (o incluso les obliga) a intervenir. A estas personas se les denomina 'terceros procesales'.</w:t>
      </w:r>
    </w:p>
    <w:p w14:paraId="6D8DB972" w14:textId="77777777" w:rsidR="006C5AB5" w:rsidRPr="006C5AB5" w:rsidRDefault="006C5AB5" w:rsidP="006C5AB5">
      <w:pPr>
        <w:jc w:val="both"/>
        <w:rPr>
          <w:rFonts w:ascii="Arial" w:hAnsi="Arial" w:cs="Arial"/>
          <w:sz w:val="22"/>
          <w:szCs w:val="22"/>
        </w:rPr>
      </w:pPr>
    </w:p>
    <w:p w14:paraId="711040F3" w14:textId="77777777" w:rsidR="006C5AB5" w:rsidRPr="006C5AB5" w:rsidRDefault="006C5AB5" w:rsidP="006C5AB5">
      <w:pPr>
        <w:jc w:val="both"/>
        <w:rPr>
          <w:rFonts w:ascii="Arial" w:hAnsi="Arial" w:cs="Arial"/>
          <w:sz w:val="22"/>
          <w:szCs w:val="22"/>
        </w:rPr>
      </w:pPr>
      <w:r w:rsidRPr="006C5AB5">
        <w:rPr>
          <w:rFonts w:ascii="Arial" w:hAnsi="Arial" w:cs="Arial"/>
          <w:sz w:val="22"/>
          <w:szCs w:val="22"/>
        </w:rPr>
        <w:t>La intervención de terceros responde al principio de economía procesal: es mejor resolver en un solo proceso todos los aspectos conexos de una controversia, que tramitar múltiples procesos separados que podrían producir decisiones contradictorias.</w:t>
      </w:r>
    </w:p>
    <w:p w14:paraId="179891E8" w14:textId="77777777" w:rsidR="006C5AB5" w:rsidRPr="006C5AB5" w:rsidRDefault="006C5AB5" w:rsidP="006C5AB5">
      <w:pPr>
        <w:jc w:val="both"/>
        <w:rPr>
          <w:rFonts w:ascii="Arial" w:hAnsi="Arial" w:cs="Arial"/>
          <w:sz w:val="22"/>
          <w:szCs w:val="22"/>
        </w:rPr>
      </w:pPr>
    </w:p>
    <w:p w14:paraId="53222CD9" w14:textId="77777777" w:rsidR="006C5AB5" w:rsidRPr="006C5AB5" w:rsidRDefault="006C5AB5" w:rsidP="006C5AB5">
      <w:pPr>
        <w:jc w:val="both"/>
        <w:rPr>
          <w:rFonts w:ascii="Arial" w:hAnsi="Arial" w:cs="Arial"/>
          <w:b/>
          <w:bCs/>
          <w:sz w:val="22"/>
          <w:szCs w:val="22"/>
          <w:u w:val="single"/>
        </w:rPr>
      </w:pPr>
      <w:r w:rsidRPr="006C5AB5">
        <w:rPr>
          <w:rFonts w:ascii="Arial" w:hAnsi="Arial" w:cs="Arial"/>
          <w:b/>
          <w:bCs/>
          <w:sz w:val="22"/>
          <w:szCs w:val="22"/>
          <w:u w:val="single"/>
        </w:rPr>
        <w:t>3.6.2 Tipos de Intervención de Terceros en el CGP</w:t>
      </w:r>
    </w:p>
    <w:p w14:paraId="611F6A2E" w14:textId="77777777" w:rsidR="006C5AB5" w:rsidRPr="006C5AB5" w:rsidRDefault="006C5AB5" w:rsidP="006C5AB5">
      <w:pPr>
        <w:jc w:val="both"/>
        <w:rPr>
          <w:rFonts w:ascii="Arial" w:hAnsi="Arial" w:cs="Arial"/>
          <w:sz w:val="22"/>
          <w:szCs w:val="22"/>
        </w:rPr>
      </w:pPr>
    </w:p>
    <w:tbl>
      <w:tblPr>
        <w:tblW w:w="0" w:type="auto"/>
        <w:tblCellMar>
          <w:top w:w="15" w:type="dxa"/>
          <w:left w:w="15" w:type="dxa"/>
          <w:bottom w:w="15" w:type="dxa"/>
          <w:right w:w="15" w:type="dxa"/>
        </w:tblCellMar>
        <w:tblLook w:val="04A0" w:firstRow="1" w:lastRow="0" w:firstColumn="1" w:lastColumn="0" w:noHBand="0" w:noVBand="1"/>
      </w:tblPr>
      <w:tblGrid>
        <w:gridCol w:w="2255"/>
        <w:gridCol w:w="2104"/>
        <w:gridCol w:w="2090"/>
        <w:gridCol w:w="2379"/>
      </w:tblGrid>
      <w:tr w:rsidR="006C5AB5" w:rsidRPr="006C5AB5" w14:paraId="25914FE0"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0D394F64" w14:textId="77777777" w:rsidR="006C5AB5" w:rsidRPr="006C5AB5" w:rsidRDefault="006C5AB5" w:rsidP="00DD2DD5">
            <w:pPr>
              <w:jc w:val="both"/>
              <w:rPr>
                <w:rFonts w:ascii="Arial" w:hAnsi="Arial" w:cs="Arial"/>
                <w:sz w:val="22"/>
                <w:szCs w:val="22"/>
              </w:rPr>
            </w:pPr>
            <w:r w:rsidRPr="006C5AB5">
              <w:rPr>
                <w:rFonts w:ascii="Arial" w:hAnsi="Arial" w:cs="Arial"/>
                <w:b/>
                <w:bCs/>
                <w:sz w:val="22"/>
                <w:szCs w:val="22"/>
              </w:rPr>
              <w:t>TIPO DE INTERVENCIÓN</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6AA75949" w14:textId="77777777" w:rsidR="006C5AB5" w:rsidRPr="006C5AB5" w:rsidRDefault="006C5AB5" w:rsidP="00DD2DD5">
            <w:pPr>
              <w:jc w:val="both"/>
              <w:rPr>
                <w:rFonts w:ascii="Arial" w:hAnsi="Arial" w:cs="Arial"/>
                <w:sz w:val="22"/>
                <w:szCs w:val="22"/>
              </w:rPr>
            </w:pPr>
            <w:r w:rsidRPr="006C5AB5">
              <w:rPr>
                <w:rFonts w:ascii="Arial" w:hAnsi="Arial" w:cs="Arial"/>
                <w:b/>
                <w:bCs/>
                <w:sz w:val="22"/>
                <w:szCs w:val="22"/>
              </w:rPr>
              <w:t>QUIEN INTERVIENE</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31193AEF" w14:textId="77777777" w:rsidR="006C5AB5" w:rsidRPr="006C5AB5" w:rsidRDefault="006C5AB5" w:rsidP="00DD2DD5">
            <w:pPr>
              <w:jc w:val="both"/>
              <w:rPr>
                <w:rFonts w:ascii="Arial" w:hAnsi="Arial" w:cs="Arial"/>
                <w:sz w:val="22"/>
                <w:szCs w:val="22"/>
              </w:rPr>
            </w:pPr>
            <w:r w:rsidRPr="006C5AB5">
              <w:rPr>
                <w:rFonts w:ascii="Arial" w:hAnsi="Arial" w:cs="Arial"/>
                <w:b/>
                <w:bCs/>
                <w:sz w:val="22"/>
                <w:szCs w:val="22"/>
              </w:rPr>
              <w:t>CUANDO SE ACTIVA</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2FF6AE81" w14:textId="77777777" w:rsidR="006C5AB5" w:rsidRPr="006C5AB5" w:rsidRDefault="006C5AB5" w:rsidP="00DD2DD5">
            <w:pPr>
              <w:jc w:val="both"/>
              <w:rPr>
                <w:rFonts w:ascii="Arial" w:hAnsi="Arial" w:cs="Arial"/>
                <w:sz w:val="22"/>
                <w:szCs w:val="22"/>
              </w:rPr>
            </w:pPr>
            <w:r w:rsidRPr="006C5AB5">
              <w:rPr>
                <w:rFonts w:ascii="Arial" w:hAnsi="Arial" w:cs="Arial"/>
                <w:b/>
                <w:bCs/>
                <w:sz w:val="22"/>
                <w:szCs w:val="22"/>
              </w:rPr>
              <w:t>EFECTO</w:t>
            </w:r>
          </w:p>
        </w:tc>
      </w:tr>
      <w:tr w:rsidR="006C5AB5" w:rsidRPr="006C5AB5" w14:paraId="7235B7A7"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52B20304"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COADYUVANTE (Art. 71 CGP)</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122A849A"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Tercero con interés en que una de las partes gane el proceso.</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042DBAC0"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Voluntaria: el tercero solicita intervenir.</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69621111"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Puede realizar actos procesales, pero no puede actuar en contra de la parte a quien ayuda.</w:t>
            </w:r>
          </w:p>
        </w:tc>
      </w:tr>
      <w:tr w:rsidR="006C5AB5" w:rsidRPr="006C5AB5" w14:paraId="304BDCE7"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11D372E3"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LLAMAMIENTO EN GARANTÍA (Art. 64 CGP)</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77EB339F"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Quien tiene acción de regreso contra un tercero si pierde el proceso.</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15284DB4"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 xml:space="preserve">A solicitud de parte (demandante o </w:t>
            </w:r>
            <w:r w:rsidRPr="006C5AB5">
              <w:rPr>
                <w:rFonts w:ascii="Arial" w:hAnsi="Arial" w:cs="Arial"/>
                <w:sz w:val="22"/>
                <w:szCs w:val="22"/>
              </w:rPr>
              <w:lastRenderedPageBreak/>
              <w:t>demandado) al inicio del proceso.</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4639BE71"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lastRenderedPageBreak/>
              <w:t xml:space="preserve">El tercero llamado queda vinculado al proceso y la sentencia puede </w:t>
            </w:r>
            <w:r w:rsidRPr="006C5AB5">
              <w:rPr>
                <w:rFonts w:ascii="Arial" w:hAnsi="Arial" w:cs="Arial"/>
                <w:sz w:val="22"/>
                <w:szCs w:val="22"/>
              </w:rPr>
              <w:lastRenderedPageBreak/>
              <w:t>condenarlo directamente.</w:t>
            </w:r>
          </w:p>
        </w:tc>
      </w:tr>
      <w:tr w:rsidR="006C5AB5" w:rsidRPr="006C5AB5" w14:paraId="2524CD97"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69665A50"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lastRenderedPageBreak/>
              <w:t>LLAMAMIENTO DE OFICIO (Art. 72 CGP)</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16A3AB72"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Litisconsorte necesario que no fue demandado.</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1FF4FBF9"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De oficio por el juez al advertir la ausencia del litisconsorte necesario.</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147344D8"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Integración obligatoria del contradictorio.</w:t>
            </w:r>
          </w:p>
        </w:tc>
      </w:tr>
      <w:tr w:rsidR="006C5AB5" w:rsidRPr="006C5AB5" w14:paraId="1705563F"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0FEFD966"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TERCERO EXCLUYENTE (Art. 63 CGP)</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7F73D2BA"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Tercero que alega un derecho propio sobre el objeto del proceso.</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19681E03"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Voluntaria: el tercero presenta demanda en el mismo proceso.</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4A54170E"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Se convierte en nueva parte demandante contra las dos partes originales.</w:t>
            </w:r>
          </w:p>
        </w:tc>
      </w:tr>
      <w:tr w:rsidR="006C5AB5" w:rsidRPr="006C5AB5" w14:paraId="1AEC2808"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42CA606A"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LLAMAMIENTO DE HEREDEROS (Art. 68 CGP)</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68E19ED1"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Sucesores o herederos de una parte que fallece en el proceso.</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3296AFBD"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Cuando una parte muere durante el proceso.</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59E0AA25"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Continúan el proceso en lugar del causante.</w:t>
            </w:r>
          </w:p>
        </w:tc>
      </w:tr>
    </w:tbl>
    <w:p w14:paraId="70C88588" w14:textId="77777777" w:rsidR="006C5AB5" w:rsidRPr="006C5AB5" w:rsidRDefault="006C5AB5" w:rsidP="006C5AB5">
      <w:pPr>
        <w:jc w:val="both"/>
        <w:rPr>
          <w:rFonts w:ascii="Arial" w:hAnsi="Arial" w:cs="Arial"/>
          <w:sz w:val="22"/>
          <w:szCs w:val="22"/>
        </w:rPr>
      </w:pPr>
    </w:p>
    <w:p w14:paraId="57B7AF50" w14:textId="77777777" w:rsidR="006C5AB5" w:rsidRPr="006C5AB5" w:rsidRDefault="006C5AB5" w:rsidP="006C5AB5">
      <w:pPr>
        <w:jc w:val="both"/>
        <w:rPr>
          <w:rFonts w:ascii="Arial" w:hAnsi="Arial" w:cs="Arial"/>
          <w:b/>
          <w:bCs/>
          <w:sz w:val="22"/>
          <w:szCs w:val="22"/>
          <w:u w:val="single"/>
        </w:rPr>
      </w:pPr>
      <w:r w:rsidRPr="006C5AB5">
        <w:rPr>
          <w:rFonts w:ascii="Arial" w:hAnsi="Arial" w:cs="Arial"/>
          <w:b/>
          <w:bCs/>
          <w:sz w:val="22"/>
          <w:szCs w:val="22"/>
          <w:u w:val="single"/>
        </w:rPr>
        <w:t>3.6.3 El Coadyuvante: El Tercero Auxiliar</w:t>
      </w:r>
    </w:p>
    <w:p w14:paraId="3CCD621C" w14:textId="77777777" w:rsidR="006C5AB5" w:rsidRPr="006C5AB5" w:rsidRDefault="006C5AB5" w:rsidP="006C5AB5">
      <w:pPr>
        <w:jc w:val="both"/>
        <w:rPr>
          <w:rFonts w:ascii="Arial" w:hAnsi="Arial" w:cs="Arial"/>
          <w:sz w:val="22"/>
          <w:szCs w:val="22"/>
        </w:rPr>
      </w:pPr>
    </w:p>
    <w:p w14:paraId="2E39A20B" w14:textId="77777777" w:rsidR="006C5AB5" w:rsidRPr="006C5AB5" w:rsidRDefault="006C5AB5" w:rsidP="006C5AB5">
      <w:pPr>
        <w:jc w:val="both"/>
        <w:rPr>
          <w:rFonts w:ascii="Arial" w:hAnsi="Arial" w:cs="Arial"/>
          <w:sz w:val="22"/>
          <w:szCs w:val="22"/>
        </w:rPr>
      </w:pPr>
      <w:r w:rsidRPr="006C5AB5">
        <w:rPr>
          <w:rFonts w:ascii="Arial" w:hAnsi="Arial" w:cs="Arial"/>
          <w:sz w:val="22"/>
          <w:szCs w:val="22"/>
        </w:rPr>
        <w:t>El COADYUVANTE es el tercero que tiene un interés jurídico -no solo económico o sentimental- en que una de las partes gane el proceso. Interviene para ayudar a esa parte, sin convertirse en una nueva parte independiente.</w:t>
      </w:r>
    </w:p>
    <w:p w14:paraId="740A399D" w14:textId="77777777" w:rsidR="006C5AB5" w:rsidRPr="006C5AB5" w:rsidRDefault="006C5AB5" w:rsidP="006C5AB5">
      <w:pPr>
        <w:jc w:val="both"/>
        <w:rPr>
          <w:rFonts w:ascii="Arial" w:hAnsi="Arial" w:cs="Arial"/>
          <w:sz w:val="22"/>
          <w:szCs w:val="22"/>
        </w:rPr>
      </w:pPr>
    </w:p>
    <w:p w14:paraId="47513006" w14:textId="77777777" w:rsidR="006C5AB5" w:rsidRPr="006C5AB5" w:rsidRDefault="006C5AB5" w:rsidP="006C5AB5">
      <w:pPr>
        <w:jc w:val="both"/>
        <w:rPr>
          <w:rFonts w:ascii="Arial" w:hAnsi="Arial" w:cs="Arial"/>
          <w:sz w:val="22"/>
          <w:szCs w:val="22"/>
        </w:rPr>
      </w:pPr>
      <w:r w:rsidRPr="006C5AB5">
        <w:rPr>
          <w:rFonts w:ascii="Arial" w:hAnsi="Arial" w:cs="Arial"/>
          <w:sz w:val="22"/>
          <w:szCs w:val="22"/>
        </w:rPr>
        <w:t>Ejemplo clásico: un fiador (garante) tiene interés en que su afianzado (deudor principal) gane el proceso que le iniciaron sus acreedores. Si el deudor pierde, el fiador quedara expuesto a que le cobren la deuda a él. Por eso puede intervenir como coadyuvante del demandado.</w:t>
      </w:r>
    </w:p>
    <w:p w14:paraId="10AC36EA" w14:textId="77777777" w:rsidR="006C5AB5" w:rsidRPr="006C5AB5" w:rsidRDefault="006C5AB5" w:rsidP="006C5AB5">
      <w:pPr>
        <w:jc w:val="both"/>
        <w:rPr>
          <w:rFonts w:ascii="Arial" w:hAnsi="Arial" w:cs="Arial"/>
          <w:sz w:val="22"/>
          <w:szCs w:val="22"/>
        </w:rPr>
      </w:pPr>
    </w:p>
    <w:tbl>
      <w:tblPr>
        <w:tblW w:w="0" w:type="auto"/>
        <w:tblCellMar>
          <w:top w:w="15" w:type="dxa"/>
          <w:left w:w="15" w:type="dxa"/>
          <w:bottom w:w="15" w:type="dxa"/>
          <w:right w:w="15" w:type="dxa"/>
        </w:tblCellMar>
        <w:tblLook w:val="04A0" w:firstRow="1" w:lastRow="0" w:firstColumn="1" w:lastColumn="0" w:noHBand="0" w:noVBand="1"/>
      </w:tblPr>
      <w:tblGrid>
        <w:gridCol w:w="8828"/>
      </w:tblGrid>
      <w:tr w:rsidR="006C5AB5" w:rsidRPr="006C5AB5" w14:paraId="2D2E2107"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D0E8F7"/>
            <w:tcMar>
              <w:top w:w="140" w:type="dxa"/>
              <w:left w:w="200" w:type="dxa"/>
              <w:bottom w:w="140" w:type="dxa"/>
              <w:right w:w="200" w:type="dxa"/>
            </w:tcMar>
            <w:hideMark/>
          </w:tcPr>
          <w:p w14:paraId="39C37597" w14:textId="77777777" w:rsidR="006C5AB5" w:rsidRPr="006C5AB5" w:rsidRDefault="006C5AB5" w:rsidP="00DD2DD5">
            <w:pPr>
              <w:jc w:val="both"/>
              <w:rPr>
                <w:rFonts w:ascii="Arial" w:hAnsi="Arial" w:cs="Arial"/>
                <w:sz w:val="22"/>
                <w:szCs w:val="22"/>
              </w:rPr>
            </w:pPr>
            <w:r w:rsidRPr="006C5AB5">
              <w:rPr>
                <w:rFonts w:ascii="Arial" w:hAnsi="Arial" w:cs="Arial"/>
                <w:b/>
                <w:bCs/>
                <w:sz w:val="22"/>
                <w:szCs w:val="22"/>
              </w:rPr>
              <w:t>LIMITES DEL COADYUVANTE (Art. 71 CGP)</w:t>
            </w:r>
          </w:p>
          <w:p w14:paraId="1A82FFBE" w14:textId="77777777" w:rsidR="006C5AB5" w:rsidRPr="006C5AB5" w:rsidRDefault="006C5AB5" w:rsidP="006C5AB5">
            <w:pPr>
              <w:numPr>
                <w:ilvl w:val="0"/>
                <w:numId w:val="30"/>
              </w:numPr>
              <w:jc w:val="both"/>
              <w:rPr>
                <w:rFonts w:ascii="Arial" w:hAnsi="Arial" w:cs="Arial"/>
                <w:sz w:val="22"/>
                <w:szCs w:val="22"/>
              </w:rPr>
            </w:pPr>
            <w:r w:rsidRPr="006C5AB5">
              <w:rPr>
                <w:rFonts w:ascii="Arial" w:hAnsi="Arial" w:cs="Arial"/>
                <w:sz w:val="22"/>
                <w:szCs w:val="22"/>
              </w:rPr>
              <w:t>El coadyuvante PUEDE: alegar hechos, presentar pruebas, interponer recursos.</w:t>
            </w:r>
          </w:p>
          <w:p w14:paraId="2E99E65B" w14:textId="77777777" w:rsidR="006C5AB5" w:rsidRPr="006C5AB5" w:rsidRDefault="006C5AB5" w:rsidP="006C5AB5">
            <w:pPr>
              <w:numPr>
                <w:ilvl w:val="0"/>
                <w:numId w:val="30"/>
              </w:numPr>
              <w:jc w:val="both"/>
              <w:rPr>
                <w:rFonts w:ascii="Arial" w:hAnsi="Arial" w:cs="Arial"/>
                <w:sz w:val="22"/>
                <w:szCs w:val="22"/>
              </w:rPr>
            </w:pPr>
            <w:r w:rsidRPr="006C5AB5">
              <w:rPr>
                <w:rFonts w:ascii="Arial" w:hAnsi="Arial" w:cs="Arial"/>
                <w:sz w:val="22"/>
                <w:szCs w:val="22"/>
              </w:rPr>
              <w:t>El coadyuvante NO PUEDE: realizar actos que perjudiquen a la parte a quien ayuda (reconocer hechos que esa parte niega, desistir, allanarse).</w:t>
            </w:r>
          </w:p>
          <w:p w14:paraId="6126EBBA" w14:textId="77777777" w:rsidR="006C5AB5" w:rsidRPr="006C5AB5" w:rsidRDefault="006C5AB5" w:rsidP="006C5AB5">
            <w:pPr>
              <w:numPr>
                <w:ilvl w:val="0"/>
                <w:numId w:val="30"/>
              </w:numPr>
              <w:jc w:val="both"/>
              <w:rPr>
                <w:rFonts w:ascii="Arial" w:hAnsi="Arial" w:cs="Arial"/>
                <w:sz w:val="22"/>
                <w:szCs w:val="22"/>
              </w:rPr>
            </w:pPr>
            <w:r w:rsidRPr="006C5AB5">
              <w:rPr>
                <w:rFonts w:ascii="Arial" w:hAnsi="Arial" w:cs="Arial"/>
                <w:sz w:val="22"/>
                <w:szCs w:val="22"/>
              </w:rPr>
              <w:t>El coadyuvante NO ES PARTE PRINCIPAL: no puede reformar la demanda, no puede imponer su criterio sobre la estrategia procesal.</w:t>
            </w:r>
          </w:p>
        </w:tc>
      </w:tr>
    </w:tbl>
    <w:p w14:paraId="5DB5D6F1" w14:textId="77777777" w:rsidR="006C5AB5" w:rsidRPr="006C5AB5" w:rsidRDefault="006C5AB5" w:rsidP="006C5AB5">
      <w:pPr>
        <w:jc w:val="both"/>
        <w:rPr>
          <w:rFonts w:ascii="Arial" w:hAnsi="Arial" w:cs="Arial"/>
          <w:sz w:val="22"/>
          <w:szCs w:val="22"/>
        </w:rPr>
      </w:pPr>
    </w:p>
    <w:p w14:paraId="2403CDBE" w14:textId="77777777" w:rsidR="006C5AB5" w:rsidRPr="006C5AB5" w:rsidRDefault="006C5AB5" w:rsidP="006C5AB5">
      <w:pPr>
        <w:jc w:val="both"/>
        <w:rPr>
          <w:rFonts w:ascii="Arial" w:hAnsi="Arial" w:cs="Arial"/>
          <w:sz w:val="22"/>
          <w:szCs w:val="22"/>
        </w:rPr>
      </w:pPr>
      <w:r w:rsidRPr="006C5AB5">
        <w:rPr>
          <w:rFonts w:ascii="Arial" w:hAnsi="Arial" w:cs="Arial"/>
          <w:b/>
          <w:bCs/>
          <w:sz w:val="22"/>
          <w:szCs w:val="22"/>
          <w:u w:val="single"/>
        </w:rPr>
        <w:t>3.6.4 El Llamamiento en Garantía: La Acción de Regreso Procesal</w:t>
      </w:r>
    </w:p>
    <w:p w14:paraId="40F8C4F8" w14:textId="77777777" w:rsidR="006C5AB5" w:rsidRPr="006C5AB5" w:rsidRDefault="006C5AB5" w:rsidP="006C5AB5">
      <w:pPr>
        <w:jc w:val="both"/>
        <w:rPr>
          <w:rFonts w:ascii="Arial" w:hAnsi="Arial" w:cs="Arial"/>
          <w:sz w:val="22"/>
          <w:szCs w:val="22"/>
        </w:rPr>
      </w:pPr>
      <w:r w:rsidRPr="006C5AB5">
        <w:rPr>
          <w:rFonts w:ascii="Arial" w:hAnsi="Arial" w:cs="Arial"/>
          <w:sz w:val="22"/>
          <w:szCs w:val="22"/>
        </w:rPr>
        <w:t>El LLAMAMIENTO EN GARANTÍA (Art. 64 CGP) es una de las figuras más útiles del litio civil colombiano. Permite que una parte (demandante o demandado) vincule al proceso a un tercero contra quien tiene una acción de regreso o de garantía: si pierde el proceso principal, podrá cobrarle al tercero llamado.</w:t>
      </w:r>
    </w:p>
    <w:p w14:paraId="22A93ADB" w14:textId="77777777" w:rsidR="006C5AB5" w:rsidRPr="006C5AB5" w:rsidRDefault="006C5AB5" w:rsidP="006C5AB5">
      <w:pPr>
        <w:jc w:val="both"/>
        <w:rPr>
          <w:rFonts w:ascii="Arial" w:hAnsi="Arial" w:cs="Arial"/>
          <w:sz w:val="22"/>
          <w:szCs w:val="22"/>
        </w:rPr>
      </w:pPr>
    </w:p>
    <w:p w14:paraId="5143B874" w14:textId="77777777" w:rsidR="006C5AB5" w:rsidRPr="006C5AB5" w:rsidRDefault="006C5AB5" w:rsidP="006C5AB5">
      <w:pPr>
        <w:jc w:val="both"/>
        <w:rPr>
          <w:rFonts w:ascii="Arial" w:hAnsi="Arial" w:cs="Arial"/>
          <w:sz w:val="22"/>
          <w:szCs w:val="22"/>
        </w:rPr>
      </w:pPr>
      <w:r w:rsidRPr="006C5AB5">
        <w:rPr>
          <w:rFonts w:ascii="Arial" w:hAnsi="Arial" w:cs="Arial"/>
          <w:sz w:val="22"/>
          <w:szCs w:val="22"/>
        </w:rPr>
        <w:t>El caso más típico en Colombia es el de las aseguradoras: si una empresa es demandada por daños y tiene un seguro de responsabilidad civil, puede llamar en garantía a su aseguradora. Si la empresa es condenada, la aseguradora queda vinculada y puede ser condenada directamente a pagar, hasta el límite de la poliza.</w:t>
      </w:r>
    </w:p>
    <w:p w14:paraId="2E080C43" w14:textId="77777777" w:rsidR="006C5AB5" w:rsidRPr="006C5AB5" w:rsidRDefault="006C5AB5" w:rsidP="006C5AB5">
      <w:pPr>
        <w:jc w:val="both"/>
        <w:rPr>
          <w:rFonts w:ascii="Arial" w:hAnsi="Arial" w:cs="Arial"/>
          <w:sz w:val="22"/>
          <w:szCs w:val="22"/>
        </w:rPr>
      </w:pPr>
    </w:p>
    <w:tbl>
      <w:tblPr>
        <w:tblW w:w="0" w:type="auto"/>
        <w:tblCellMar>
          <w:top w:w="15" w:type="dxa"/>
          <w:left w:w="15" w:type="dxa"/>
          <w:bottom w:w="15" w:type="dxa"/>
          <w:right w:w="15" w:type="dxa"/>
        </w:tblCellMar>
        <w:tblLook w:val="04A0" w:firstRow="1" w:lastRow="0" w:firstColumn="1" w:lastColumn="0" w:noHBand="0" w:noVBand="1"/>
      </w:tblPr>
      <w:tblGrid>
        <w:gridCol w:w="8828"/>
      </w:tblGrid>
      <w:tr w:rsidR="006C5AB5" w:rsidRPr="006C5AB5" w14:paraId="17F7DD04"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E5CC"/>
            <w:tcMar>
              <w:top w:w="140" w:type="dxa"/>
              <w:left w:w="200" w:type="dxa"/>
              <w:bottom w:w="140" w:type="dxa"/>
              <w:right w:w="200" w:type="dxa"/>
            </w:tcMar>
            <w:hideMark/>
          </w:tcPr>
          <w:p w14:paraId="05CB432E" w14:textId="77777777" w:rsidR="006C5AB5" w:rsidRPr="006C5AB5" w:rsidRDefault="006C5AB5" w:rsidP="00DD2DD5">
            <w:pPr>
              <w:jc w:val="both"/>
              <w:rPr>
                <w:rFonts w:ascii="Arial" w:hAnsi="Arial" w:cs="Arial"/>
                <w:sz w:val="22"/>
                <w:szCs w:val="22"/>
              </w:rPr>
            </w:pPr>
            <w:r w:rsidRPr="006C5AB5">
              <w:rPr>
                <w:rFonts w:ascii="Arial" w:hAnsi="Arial" w:cs="Arial"/>
                <w:b/>
                <w:bCs/>
                <w:sz w:val="22"/>
                <w:szCs w:val="22"/>
              </w:rPr>
              <w:lastRenderedPageBreak/>
              <w:t>EJEMPLOS DE LLAMAMIENTO EN GARANTÍA</w:t>
            </w:r>
          </w:p>
          <w:p w14:paraId="61DCF135" w14:textId="77777777" w:rsidR="006C5AB5" w:rsidRPr="006C5AB5" w:rsidRDefault="006C5AB5" w:rsidP="00DD2DD5">
            <w:pPr>
              <w:jc w:val="both"/>
              <w:rPr>
                <w:rFonts w:ascii="Arial" w:hAnsi="Arial" w:cs="Arial"/>
                <w:sz w:val="22"/>
                <w:szCs w:val="22"/>
              </w:rPr>
            </w:pPr>
            <w:r w:rsidRPr="006C5AB5">
              <w:rPr>
                <w:rFonts w:ascii="Arial" w:hAnsi="Arial" w:cs="Arial"/>
                <w:b/>
                <w:bCs/>
                <w:sz w:val="22"/>
                <w:szCs w:val="22"/>
              </w:rPr>
              <w:t xml:space="preserve">Empresa + Aseguradora: </w:t>
            </w:r>
            <w:r w:rsidRPr="006C5AB5">
              <w:rPr>
                <w:rFonts w:ascii="Arial" w:hAnsi="Arial" w:cs="Arial"/>
                <w:sz w:val="22"/>
                <w:szCs w:val="22"/>
              </w:rPr>
              <w:t>Una empresa constructora es demandada por daños en una obra. Llama en garantía a su aseguradora de responsabilidad civil. Si la empresa es condenada, la aseguradora paga directamente al demandante.</w:t>
            </w:r>
          </w:p>
          <w:p w14:paraId="741E729D" w14:textId="77777777" w:rsidR="006C5AB5" w:rsidRPr="006C5AB5" w:rsidRDefault="006C5AB5" w:rsidP="00DD2DD5">
            <w:pPr>
              <w:jc w:val="both"/>
              <w:rPr>
                <w:rFonts w:ascii="Arial" w:hAnsi="Arial" w:cs="Arial"/>
                <w:sz w:val="22"/>
                <w:szCs w:val="22"/>
              </w:rPr>
            </w:pPr>
            <w:r w:rsidRPr="006C5AB5">
              <w:rPr>
                <w:rFonts w:ascii="Arial" w:hAnsi="Arial" w:cs="Arial"/>
                <w:b/>
                <w:bCs/>
                <w:sz w:val="22"/>
                <w:szCs w:val="22"/>
              </w:rPr>
              <w:t xml:space="preserve">Contratista + Subcontratista: </w:t>
            </w:r>
            <w:r w:rsidRPr="006C5AB5">
              <w:rPr>
                <w:rFonts w:ascii="Arial" w:hAnsi="Arial" w:cs="Arial"/>
                <w:sz w:val="22"/>
                <w:szCs w:val="22"/>
              </w:rPr>
              <w:t>El contratista principal es demandado por incumplimiento. Llama en garantía al subcontratista que fue el verdadero causante del incumplimiento. Si el contratista pierde, puede cobrarle directamente al subcontratista en la misma sentencia.</w:t>
            </w:r>
          </w:p>
          <w:p w14:paraId="4F1FF49C" w14:textId="77777777" w:rsidR="006C5AB5" w:rsidRPr="006C5AB5" w:rsidRDefault="006C5AB5" w:rsidP="00DD2DD5">
            <w:pPr>
              <w:jc w:val="both"/>
              <w:rPr>
                <w:rFonts w:ascii="Arial" w:hAnsi="Arial" w:cs="Arial"/>
                <w:sz w:val="22"/>
                <w:szCs w:val="22"/>
              </w:rPr>
            </w:pPr>
            <w:r w:rsidRPr="006C5AB5">
              <w:rPr>
                <w:rFonts w:ascii="Arial" w:hAnsi="Arial" w:cs="Arial"/>
                <w:b/>
                <w:bCs/>
                <w:sz w:val="22"/>
                <w:szCs w:val="22"/>
              </w:rPr>
              <w:t xml:space="preserve">Vendedor + Anterior propietario (evicción): </w:t>
            </w:r>
            <w:r w:rsidRPr="006C5AB5">
              <w:rPr>
                <w:rFonts w:ascii="Arial" w:hAnsi="Arial" w:cs="Arial"/>
                <w:sz w:val="22"/>
                <w:szCs w:val="22"/>
              </w:rPr>
              <w:t>Si alguien compro un bien y ahora un tercero lo demanda para quitárselo (evicción), el comprador puede llamar en garantía al vendedor, quien debe salir a defenderlo.</w:t>
            </w:r>
          </w:p>
        </w:tc>
      </w:tr>
    </w:tbl>
    <w:p w14:paraId="1AE69BDA" w14:textId="77777777" w:rsidR="006C5AB5" w:rsidRPr="006C5AB5" w:rsidRDefault="006C5AB5" w:rsidP="006C5AB5">
      <w:pPr>
        <w:jc w:val="both"/>
        <w:rPr>
          <w:rFonts w:ascii="Arial" w:hAnsi="Arial" w:cs="Arial"/>
          <w:sz w:val="22"/>
          <w:szCs w:val="22"/>
        </w:rPr>
      </w:pPr>
    </w:p>
    <w:p w14:paraId="1BF5B2EB" w14:textId="77777777" w:rsidR="006C5AB5" w:rsidRPr="006C5AB5" w:rsidRDefault="006C5AB5" w:rsidP="006C5AB5">
      <w:pPr>
        <w:jc w:val="both"/>
        <w:rPr>
          <w:rFonts w:ascii="Arial" w:hAnsi="Arial" w:cs="Arial"/>
          <w:b/>
          <w:bCs/>
          <w:sz w:val="22"/>
          <w:szCs w:val="22"/>
          <w:u w:val="single"/>
        </w:rPr>
      </w:pPr>
      <w:r w:rsidRPr="006C5AB5">
        <w:rPr>
          <w:rFonts w:ascii="Arial" w:hAnsi="Arial" w:cs="Arial"/>
          <w:b/>
          <w:bCs/>
          <w:sz w:val="22"/>
          <w:szCs w:val="22"/>
          <w:u w:val="single"/>
        </w:rPr>
        <w:t>3.6.5 El Tercero Excluyente: El Que Viene a Desplazar a Todos</w:t>
      </w:r>
    </w:p>
    <w:p w14:paraId="3BDDA81B" w14:textId="77777777" w:rsidR="006C5AB5" w:rsidRPr="006C5AB5" w:rsidRDefault="006C5AB5" w:rsidP="006C5AB5">
      <w:pPr>
        <w:jc w:val="both"/>
        <w:rPr>
          <w:rFonts w:ascii="Arial" w:hAnsi="Arial" w:cs="Arial"/>
          <w:sz w:val="22"/>
          <w:szCs w:val="22"/>
        </w:rPr>
      </w:pPr>
    </w:p>
    <w:p w14:paraId="4186D944" w14:textId="77777777" w:rsidR="006C5AB5" w:rsidRPr="006C5AB5" w:rsidRDefault="006C5AB5" w:rsidP="006C5AB5">
      <w:pPr>
        <w:jc w:val="both"/>
        <w:rPr>
          <w:rFonts w:ascii="Arial" w:hAnsi="Arial" w:cs="Arial"/>
          <w:sz w:val="22"/>
          <w:szCs w:val="22"/>
        </w:rPr>
      </w:pPr>
      <w:r w:rsidRPr="006C5AB5">
        <w:rPr>
          <w:rFonts w:ascii="Arial" w:hAnsi="Arial" w:cs="Arial"/>
          <w:sz w:val="22"/>
          <w:szCs w:val="22"/>
        </w:rPr>
        <w:t>El TERCERO EXCLUYENTE (Art. 63 CGP) es la figura más dramática de la intervención de terceros: es el sujeto que afirma tener un derecho propio sobre el bien o la relacion juridica objeto del proceso, un derecho que excluye tanto al demandante como al demandado.</w:t>
      </w:r>
    </w:p>
    <w:p w14:paraId="6D49EE27" w14:textId="77777777" w:rsidR="006C5AB5" w:rsidRPr="006C5AB5" w:rsidRDefault="006C5AB5" w:rsidP="006C5AB5">
      <w:pPr>
        <w:jc w:val="both"/>
        <w:rPr>
          <w:rFonts w:ascii="Arial" w:hAnsi="Arial" w:cs="Arial"/>
          <w:sz w:val="22"/>
          <w:szCs w:val="22"/>
        </w:rPr>
      </w:pPr>
    </w:p>
    <w:p w14:paraId="48422FF3" w14:textId="77777777" w:rsidR="006C5AB5" w:rsidRPr="006C5AB5" w:rsidRDefault="006C5AB5" w:rsidP="006C5AB5">
      <w:pPr>
        <w:jc w:val="both"/>
        <w:rPr>
          <w:rFonts w:ascii="Arial" w:hAnsi="Arial" w:cs="Arial"/>
          <w:sz w:val="22"/>
          <w:szCs w:val="22"/>
        </w:rPr>
      </w:pPr>
      <w:r w:rsidRPr="006C5AB5">
        <w:rPr>
          <w:rFonts w:ascii="Arial" w:hAnsi="Arial" w:cs="Arial"/>
          <w:sz w:val="22"/>
          <w:szCs w:val="22"/>
        </w:rPr>
        <w:t>Ejemplo: Pedro demanda a Juan para que le entregue un inmueble alegando ser el propietario. Durante el proceso, aparece Carlos alegando que el inmueble ES SUYO, que ni Pedro ni Juan tienen derecho sobre él. Carlos puede intervenir como tercero excluyente, convirtiéndose en una especie de nuevo demandante contra ambas partes originales.</w:t>
      </w:r>
    </w:p>
    <w:p w14:paraId="2E3658C4" w14:textId="77777777" w:rsidR="006C5AB5" w:rsidRPr="006C5AB5" w:rsidRDefault="006C5AB5" w:rsidP="006C5AB5">
      <w:pPr>
        <w:jc w:val="both"/>
        <w:rPr>
          <w:rFonts w:ascii="Arial" w:hAnsi="Arial" w:cs="Arial"/>
          <w:sz w:val="22"/>
          <w:szCs w:val="22"/>
        </w:rPr>
      </w:pPr>
    </w:p>
    <w:p w14:paraId="75F828B9" w14:textId="77777777" w:rsidR="006C5AB5" w:rsidRPr="006C5AB5" w:rsidRDefault="006C5AB5" w:rsidP="006C5AB5">
      <w:pPr>
        <w:jc w:val="both"/>
        <w:rPr>
          <w:rFonts w:ascii="Arial" w:hAnsi="Arial" w:cs="Arial"/>
          <w:b/>
          <w:bCs/>
          <w:sz w:val="22"/>
          <w:szCs w:val="22"/>
        </w:rPr>
      </w:pPr>
      <w:r w:rsidRPr="006C5AB5">
        <w:rPr>
          <w:rFonts w:ascii="Arial" w:hAnsi="Arial" w:cs="Arial"/>
          <w:b/>
          <w:bCs/>
          <w:sz w:val="22"/>
          <w:szCs w:val="22"/>
        </w:rPr>
        <w:t>CAPSULA 3.7</w:t>
      </w:r>
    </w:p>
    <w:p w14:paraId="4C3F3306" w14:textId="77777777" w:rsidR="006C5AB5" w:rsidRPr="006C5AB5" w:rsidRDefault="006C5AB5" w:rsidP="006C5AB5">
      <w:pPr>
        <w:jc w:val="both"/>
        <w:rPr>
          <w:rFonts w:ascii="Arial" w:hAnsi="Arial" w:cs="Arial"/>
          <w:b/>
          <w:bCs/>
          <w:sz w:val="22"/>
          <w:szCs w:val="22"/>
        </w:rPr>
      </w:pPr>
      <w:r w:rsidRPr="006C5AB5">
        <w:rPr>
          <w:rFonts w:ascii="Arial" w:hAnsi="Arial" w:cs="Arial"/>
          <w:b/>
          <w:bCs/>
          <w:sz w:val="22"/>
          <w:szCs w:val="22"/>
        </w:rPr>
        <w:t>LOS AUXILIARES DE LA JUSTICIA</w:t>
      </w:r>
    </w:p>
    <w:p w14:paraId="2F9543B9" w14:textId="77777777" w:rsidR="006C5AB5" w:rsidRPr="006C5AB5" w:rsidRDefault="006C5AB5" w:rsidP="006C5AB5">
      <w:pPr>
        <w:jc w:val="both"/>
        <w:rPr>
          <w:rFonts w:ascii="Arial" w:hAnsi="Arial" w:cs="Arial"/>
          <w:b/>
          <w:bCs/>
          <w:sz w:val="22"/>
          <w:szCs w:val="22"/>
          <w:u w:val="single"/>
        </w:rPr>
      </w:pPr>
      <w:r w:rsidRPr="006C5AB5">
        <w:rPr>
          <w:rFonts w:ascii="Arial" w:hAnsi="Arial" w:cs="Arial"/>
          <w:b/>
          <w:bCs/>
          <w:sz w:val="22"/>
          <w:szCs w:val="22"/>
          <w:u w:val="single"/>
        </w:rPr>
        <w:t>3.7.1 Quienes son los Auxiliares de la Justicia?</w:t>
      </w:r>
    </w:p>
    <w:p w14:paraId="0C53E22F" w14:textId="77777777" w:rsidR="006C5AB5" w:rsidRPr="006C5AB5" w:rsidRDefault="006C5AB5" w:rsidP="006C5AB5">
      <w:pPr>
        <w:jc w:val="both"/>
        <w:rPr>
          <w:rFonts w:ascii="Arial" w:hAnsi="Arial" w:cs="Arial"/>
          <w:sz w:val="22"/>
          <w:szCs w:val="22"/>
        </w:rPr>
      </w:pPr>
    </w:p>
    <w:p w14:paraId="0918CD9D" w14:textId="77777777" w:rsidR="006C5AB5" w:rsidRPr="006C5AB5" w:rsidRDefault="006C5AB5" w:rsidP="006C5AB5">
      <w:pPr>
        <w:jc w:val="both"/>
        <w:rPr>
          <w:rFonts w:ascii="Arial" w:hAnsi="Arial" w:cs="Arial"/>
          <w:sz w:val="22"/>
          <w:szCs w:val="22"/>
        </w:rPr>
      </w:pPr>
      <w:r w:rsidRPr="006C5AB5">
        <w:rPr>
          <w:rFonts w:ascii="Arial" w:hAnsi="Arial" w:cs="Arial"/>
          <w:sz w:val="22"/>
          <w:szCs w:val="22"/>
        </w:rPr>
        <w:t>El proceso civil no solo involucra al juez, las partes y sus abogados. Existe una categoría de colaboradores técnicos y jurídicos cuya intervención es fundamental en ciertos momentos del proceso: los AUXILIARES DE LA JUSTICIA.</w:t>
      </w:r>
    </w:p>
    <w:p w14:paraId="1794BDC7" w14:textId="77777777" w:rsidR="006C5AB5" w:rsidRPr="006C5AB5" w:rsidRDefault="006C5AB5" w:rsidP="006C5AB5">
      <w:pPr>
        <w:jc w:val="both"/>
        <w:rPr>
          <w:rFonts w:ascii="Arial" w:hAnsi="Arial" w:cs="Arial"/>
          <w:sz w:val="22"/>
          <w:szCs w:val="22"/>
        </w:rPr>
      </w:pPr>
    </w:p>
    <w:p w14:paraId="4041488B" w14:textId="77777777" w:rsidR="006C5AB5" w:rsidRPr="006C5AB5" w:rsidRDefault="006C5AB5" w:rsidP="006C5AB5">
      <w:pPr>
        <w:jc w:val="both"/>
        <w:rPr>
          <w:rFonts w:ascii="Arial" w:hAnsi="Arial" w:cs="Arial"/>
          <w:sz w:val="22"/>
          <w:szCs w:val="22"/>
        </w:rPr>
      </w:pPr>
      <w:r w:rsidRPr="006C5AB5">
        <w:rPr>
          <w:rFonts w:ascii="Arial" w:hAnsi="Arial" w:cs="Arial"/>
          <w:sz w:val="22"/>
          <w:szCs w:val="22"/>
        </w:rPr>
        <w:t>El artículo 47 del CGP define a los auxiliares de la justicia como 'las personas naturales o jurídicas que, en calidad de peritos, secuestres, curadores ad liten, administradores de bienes, depositarios, partidores, liquidadores, interpretes, traductores y demas personas que la ley señale, colaboran con la administración de justicia.'</w:t>
      </w:r>
    </w:p>
    <w:p w14:paraId="2388E0C1" w14:textId="77777777" w:rsidR="006C5AB5" w:rsidRPr="006C5AB5" w:rsidRDefault="006C5AB5" w:rsidP="006C5AB5">
      <w:pPr>
        <w:jc w:val="both"/>
        <w:rPr>
          <w:rFonts w:ascii="Arial" w:hAnsi="Arial" w:cs="Arial"/>
          <w:sz w:val="22"/>
          <w:szCs w:val="22"/>
        </w:rPr>
      </w:pPr>
    </w:p>
    <w:p w14:paraId="552300F0" w14:textId="77777777" w:rsidR="006C5AB5" w:rsidRPr="006C5AB5" w:rsidRDefault="006C5AB5" w:rsidP="006C5AB5">
      <w:pPr>
        <w:jc w:val="both"/>
        <w:rPr>
          <w:rFonts w:ascii="Arial" w:hAnsi="Arial" w:cs="Arial"/>
          <w:sz w:val="22"/>
          <w:szCs w:val="22"/>
        </w:rPr>
      </w:pPr>
      <w:r w:rsidRPr="006C5AB5">
        <w:rPr>
          <w:rFonts w:ascii="Arial" w:hAnsi="Arial" w:cs="Arial"/>
          <w:sz w:val="22"/>
          <w:szCs w:val="22"/>
        </w:rPr>
        <w:t>Todos los auxiliares de la justicia estan sujetos a un régimen común de designación, posesión, responsabilidad y remuneración, establecido en los artículos 47 a 52 del CGP. Su designación se hace generalmente por sorteo de listas conformadas por el Consejo Superior de la Judicatura.</w:t>
      </w:r>
    </w:p>
    <w:p w14:paraId="3AE7D333" w14:textId="77777777" w:rsidR="006C5AB5" w:rsidRPr="006C5AB5" w:rsidRDefault="006C5AB5" w:rsidP="006C5AB5">
      <w:pPr>
        <w:jc w:val="both"/>
        <w:rPr>
          <w:rFonts w:ascii="Arial" w:hAnsi="Arial" w:cs="Arial"/>
          <w:sz w:val="22"/>
          <w:szCs w:val="22"/>
        </w:rPr>
      </w:pPr>
    </w:p>
    <w:p w14:paraId="6A9E2776" w14:textId="77777777" w:rsidR="006C5AB5" w:rsidRPr="006C5AB5" w:rsidRDefault="006C5AB5" w:rsidP="006C5AB5">
      <w:pPr>
        <w:jc w:val="both"/>
        <w:rPr>
          <w:rFonts w:ascii="Arial" w:hAnsi="Arial" w:cs="Arial"/>
          <w:sz w:val="22"/>
          <w:szCs w:val="22"/>
        </w:rPr>
      </w:pPr>
      <w:r w:rsidRPr="006C5AB5">
        <w:rPr>
          <w:rFonts w:ascii="Arial" w:hAnsi="Arial" w:cs="Arial"/>
          <w:b/>
          <w:bCs/>
          <w:sz w:val="22"/>
          <w:szCs w:val="22"/>
          <w:u w:val="single"/>
        </w:rPr>
        <w:t>3.7.2 El Perito</w:t>
      </w:r>
    </w:p>
    <w:p w14:paraId="505CD533" w14:textId="77777777" w:rsidR="006C5AB5" w:rsidRPr="006C5AB5" w:rsidRDefault="006C5AB5" w:rsidP="006C5AB5">
      <w:pPr>
        <w:jc w:val="both"/>
        <w:rPr>
          <w:rFonts w:ascii="Arial" w:hAnsi="Arial" w:cs="Arial"/>
          <w:sz w:val="22"/>
          <w:szCs w:val="22"/>
        </w:rPr>
      </w:pPr>
      <w:r w:rsidRPr="006C5AB5">
        <w:rPr>
          <w:rFonts w:ascii="Arial" w:hAnsi="Arial" w:cs="Arial"/>
          <w:sz w:val="22"/>
          <w:szCs w:val="22"/>
        </w:rPr>
        <w:t>El PERITO es quizás el auxiliar de la justicia más relevante en la práctica del litigio civil. Es el experto en una disciplina técnica, científica, artística o especializada cuyo conocimiento el juez necesita para comprender los hechos y tomar una decisión informada.</w:t>
      </w:r>
    </w:p>
    <w:p w14:paraId="146BDE9F" w14:textId="77777777" w:rsidR="006C5AB5" w:rsidRPr="006C5AB5" w:rsidRDefault="006C5AB5" w:rsidP="006C5AB5">
      <w:pPr>
        <w:jc w:val="both"/>
        <w:rPr>
          <w:rFonts w:ascii="Arial" w:hAnsi="Arial" w:cs="Arial"/>
          <w:sz w:val="22"/>
          <w:szCs w:val="22"/>
        </w:rPr>
      </w:pPr>
    </w:p>
    <w:tbl>
      <w:tblPr>
        <w:tblW w:w="0" w:type="auto"/>
        <w:tblCellMar>
          <w:top w:w="15" w:type="dxa"/>
          <w:left w:w="15" w:type="dxa"/>
          <w:bottom w:w="15" w:type="dxa"/>
          <w:right w:w="15" w:type="dxa"/>
        </w:tblCellMar>
        <w:tblLook w:val="04A0" w:firstRow="1" w:lastRow="0" w:firstColumn="1" w:lastColumn="0" w:noHBand="0" w:noVBand="1"/>
      </w:tblPr>
      <w:tblGrid>
        <w:gridCol w:w="8828"/>
      </w:tblGrid>
      <w:tr w:rsidR="006C5AB5" w:rsidRPr="006C5AB5" w14:paraId="5A63F88F"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3CD"/>
            <w:tcMar>
              <w:top w:w="140" w:type="dxa"/>
              <w:left w:w="200" w:type="dxa"/>
              <w:bottom w:w="140" w:type="dxa"/>
              <w:right w:w="200" w:type="dxa"/>
            </w:tcMar>
            <w:hideMark/>
          </w:tcPr>
          <w:p w14:paraId="09482C1E" w14:textId="77777777" w:rsidR="006C5AB5" w:rsidRPr="006C5AB5" w:rsidRDefault="006C5AB5" w:rsidP="00DD2DD5">
            <w:pPr>
              <w:jc w:val="both"/>
              <w:rPr>
                <w:rFonts w:ascii="Arial" w:hAnsi="Arial" w:cs="Arial"/>
                <w:sz w:val="22"/>
                <w:szCs w:val="22"/>
              </w:rPr>
            </w:pPr>
            <w:r w:rsidRPr="006C5AB5">
              <w:rPr>
                <w:rFonts w:ascii="Arial" w:hAnsi="Arial" w:cs="Arial"/>
                <w:b/>
                <w:bCs/>
                <w:sz w:val="22"/>
                <w:szCs w:val="22"/>
              </w:rPr>
              <w:t>EL PERITO EN EL CGP (Arts. 226-235 CGP)</w:t>
            </w:r>
          </w:p>
          <w:p w14:paraId="30D130C6" w14:textId="77777777" w:rsidR="006C5AB5" w:rsidRPr="006C5AB5" w:rsidRDefault="006C5AB5" w:rsidP="00DD2DD5">
            <w:pPr>
              <w:jc w:val="both"/>
              <w:rPr>
                <w:rFonts w:ascii="Arial" w:hAnsi="Arial" w:cs="Arial"/>
                <w:sz w:val="22"/>
                <w:szCs w:val="22"/>
              </w:rPr>
            </w:pPr>
            <w:r w:rsidRPr="006C5AB5">
              <w:rPr>
                <w:rFonts w:ascii="Arial" w:hAnsi="Arial" w:cs="Arial"/>
                <w:b/>
                <w:bCs/>
                <w:sz w:val="22"/>
                <w:szCs w:val="22"/>
              </w:rPr>
              <w:lastRenderedPageBreak/>
              <w:t xml:space="preserve">Designación: </w:t>
            </w:r>
            <w:r w:rsidRPr="006C5AB5">
              <w:rPr>
                <w:rFonts w:ascii="Arial" w:hAnsi="Arial" w:cs="Arial"/>
                <w:sz w:val="22"/>
                <w:szCs w:val="22"/>
              </w:rPr>
              <w:t>El juez designa al perito de la lista oficial del Consejo Superior de la Judicatura o, a falta de esta, de la lista de profesionales del área correspondiente. Las partes tambien pueden presentar sus propios peritos (peritos de parte).</w:t>
            </w:r>
          </w:p>
          <w:p w14:paraId="6448E668" w14:textId="77777777" w:rsidR="006C5AB5" w:rsidRPr="006C5AB5" w:rsidRDefault="006C5AB5" w:rsidP="00DD2DD5">
            <w:pPr>
              <w:jc w:val="both"/>
              <w:rPr>
                <w:rFonts w:ascii="Arial" w:hAnsi="Arial" w:cs="Arial"/>
                <w:sz w:val="22"/>
                <w:szCs w:val="22"/>
              </w:rPr>
            </w:pPr>
          </w:p>
          <w:p w14:paraId="5BBC12C0" w14:textId="77777777" w:rsidR="006C5AB5" w:rsidRPr="006C5AB5" w:rsidRDefault="006C5AB5" w:rsidP="00DD2DD5">
            <w:pPr>
              <w:jc w:val="both"/>
              <w:rPr>
                <w:rFonts w:ascii="Arial" w:hAnsi="Arial" w:cs="Arial"/>
                <w:sz w:val="22"/>
                <w:szCs w:val="22"/>
              </w:rPr>
            </w:pPr>
            <w:r w:rsidRPr="006C5AB5">
              <w:rPr>
                <w:rFonts w:ascii="Arial" w:hAnsi="Arial" w:cs="Arial"/>
                <w:b/>
                <w:bCs/>
                <w:sz w:val="22"/>
                <w:szCs w:val="22"/>
              </w:rPr>
              <w:t xml:space="preserve">Contradicción de la prueba pericial: </w:t>
            </w:r>
            <w:r w:rsidRPr="006C5AB5">
              <w:rPr>
                <w:rFonts w:ascii="Arial" w:hAnsi="Arial" w:cs="Arial"/>
                <w:sz w:val="22"/>
                <w:szCs w:val="22"/>
              </w:rPr>
              <w:t>El dictamen pericial debe presentarse con suficiente antelación para que la parte contraria pueda solicitar aclaraciones, complementaciones y, si es del caso, presentar un perito de parte que contradiga las conclusiones.</w:t>
            </w:r>
          </w:p>
          <w:p w14:paraId="592829F6" w14:textId="77777777" w:rsidR="006C5AB5" w:rsidRPr="006C5AB5" w:rsidRDefault="006C5AB5" w:rsidP="00DD2DD5">
            <w:pPr>
              <w:jc w:val="both"/>
              <w:rPr>
                <w:rFonts w:ascii="Arial" w:hAnsi="Arial" w:cs="Arial"/>
                <w:sz w:val="22"/>
                <w:szCs w:val="22"/>
              </w:rPr>
            </w:pPr>
          </w:p>
          <w:p w14:paraId="74DEB6E1" w14:textId="77777777" w:rsidR="006C5AB5" w:rsidRPr="006C5AB5" w:rsidRDefault="006C5AB5" w:rsidP="00DD2DD5">
            <w:pPr>
              <w:jc w:val="both"/>
              <w:rPr>
                <w:rFonts w:ascii="Arial" w:hAnsi="Arial" w:cs="Arial"/>
                <w:sz w:val="22"/>
                <w:szCs w:val="22"/>
              </w:rPr>
            </w:pPr>
            <w:r w:rsidRPr="006C5AB5">
              <w:rPr>
                <w:rFonts w:ascii="Arial" w:hAnsi="Arial" w:cs="Arial"/>
                <w:b/>
                <w:bCs/>
                <w:sz w:val="22"/>
                <w:szCs w:val="22"/>
              </w:rPr>
              <w:t xml:space="preserve">Responsabilidad del perito: </w:t>
            </w:r>
            <w:r w:rsidRPr="006C5AB5">
              <w:rPr>
                <w:rFonts w:ascii="Arial" w:hAnsi="Arial" w:cs="Arial"/>
                <w:sz w:val="22"/>
                <w:szCs w:val="22"/>
              </w:rPr>
              <w:t>El perito que rinde un dictamen falso o emite concepto erróneo por impericia incurre en responsabilidad civil, disciplinaria y penal (falso testimonio, Art. 442 Cod. Penal). El juez puede condenarlo en costas.</w:t>
            </w:r>
          </w:p>
          <w:p w14:paraId="1F1AC0E3" w14:textId="77777777" w:rsidR="006C5AB5" w:rsidRPr="006C5AB5" w:rsidRDefault="006C5AB5" w:rsidP="00DD2DD5">
            <w:pPr>
              <w:jc w:val="both"/>
              <w:rPr>
                <w:rFonts w:ascii="Arial" w:hAnsi="Arial" w:cs="Arial"/>
                <w:sz w:val="22"/>
                <w:szCs w:val="22"/>
              </w:rPr>
            </w:pPr>
          </w:p>
          <w:p w14:paraId="606694B6" w14:textId="77777777" w:rsidR="006C5AB5" w:rsidRPr="006C5AB5" w:rsidRDefault="006C5AB5" w:rsidP="00DD2DD5">
            <w:pPr>
              <w:jc w:val="both"/>
              <w:rPr>
                <w:rFonts w:ascii="Arial" w:hAnsi="Arial" w:cs="Arial"/>
                <w:sz w:val="22"/>
                <w:szCs w:val="22"/>
              </w:rPr>
            </w:pPr>
            <w:r w:rsidRPr="006C5AB5">
              <w:rPr>
                <w:rFonts w:ascii="Arial" w:hAnsi="Arial" w:cs="Arial"/>
                <w:b/>
                <w:bCs/>
                <w:sz w:val="22"/>
                <w:szCs w:val="22"/>
              </w:rPr>
              <w:t xml:space="preserve">Impedimentos y recusaciones: </w:t>
            </w:r>
            <w:r w:rsidRPr="006C5AB5">
              <w:rPr>
                <w:rFonts w:ascii="Arial" w:hAnsi="Arial" w:cs="Arial"/>
                <w:sz w:val="22"/>
                <w:szCs w:val="22"/>
              </w:rPr>
              <w:t>El perito puede ser recusado por las mismas causales aplicables a los jueces, cuando existan razones para dudar de su imparcialidad o idoneidad.</w:t>
            </w:r>
          </w:p>
        </w:tc>
      </w:tr>
    </w:tbl>
    <w:p w14:paraId="48437C1C" w14:textId="77777777" w:rsidR="006C5AB5" w:rsidRPr="006C5AB5" w:rsidRDefault="006C5AB5" w:rsidP="006C5AB5">
      <w:pPr>
        <w:jc w:val="both"/>
        <w:rPr>
          <w:rFonts w:ascii="Arial" w:hAnsi="Arial" w:cs="Arial"/>
          <w:sz w:val="22"/>
          <w:szCs w:val="22"/>
        </w:rPr>
      </w:pPr>
    </w:p>
    <w:p w14:paraId="5FFD292B" w14:textId="77777777" w:rsidR="006C5AB5" w:rsidRPr="006C5AB5" w:rsidRDefault="006C5AB5" w:rsidP="006C5AB5">
      <w:pPr>
        <w:jc w:val="both"/>
        <w:rPr>
          <w:rFonts w:ascii="Arial" w:hAnsi="Arial" w:cs="Arial"/>
          <w:sz w:val="22"/>
          <w:szCs w:val="22"/>
        </w:rPr>
      </w:pPr>
      <w:r w:rsidRPr="006C5AB5">
        <w:rPr>
          <w:rFonts w:ascii="Arial" w:hAnsi="Arial" w:cs="Arial"/>
          <w:b/>
          <w:bCs/>
          <w:sz w:val="22"/>
          <w:szCs w:val="22"/>
          <w:u w:val="single"/>
        </w:rPr>
        <w:t>3.7.3 El Secuestre</w:t>
      </w:r>
    </w:p>
    <w:p w14:paraId="0E213F26" w14:textId="77777777" w:rsidR="006C5AB5" w:rsidRPr="006C5AB5" w:rsidRDefault="006C5AB5" w:rsidP="006C5AB5">
      <w:pPr>
        <w:jc w:val="both"/>
        <w:rPr>
          <w:rFonts w:ascii="Arial" w:hAnsi="Arial" w:cs="Arial"/>
          <w:sz w:val="22"/>
          <w:szCs w:val="22"/>
        </w:rPr>
      </w:pPr>
      <w:r w:rsidRPr="006C5AB5">
        <w:rPr>
          <w:rFonts w:ascii="Arial" w:hAnsi="Arial" w:cs="Arial"/>
          <w:sz w:val="22"/>
          <w:szCs w:val="22"/>
        </w:rPr>
        <w:t>El SECUESTRE es el auxiliar designado para administrar y custodiar los bienes que han sido objeto de medida cautelar de secuestro dentro del proceso. Es, en palabras simples, el 'guardián' del bien embargado y secuestrado.</w:t>
      </w:r>
    </w:p>
    <w:p w14:paraId="2C805731" w14:textId="77777777" w:rsidR="006C5AB5" w:rsidRPr="006C5AB5" w:rsidRDefault="006C5AB5" w:rsidP="006C5AB5">
      <w:pPr>
        <w:numPr>
          <w:ilvl w:val="0"/>
          <w:numId w:val="31"/>
        </w:numPr>
        <w:jc w:val="both"/>
        <w:rPr>
          <w:rFonts w:ascii="Arial" w:hAnsi="Arial" w:cs="Arial"/>
          <w:sz w:val="22"/>
          <w:szCs w:val="22"/>
        </w:rPr>
      </w:pPr>
      <w:r w:rsidRPr="006C5AB5">
        <w:rPr>
          <w:rFonts w:ascii="Arial" w:hAnsi="Arial" w:cs="Arial"/>
          <w:sz w:val="22"/>
          <w:szCs w:val="22"/>
        </w:rPr>
        <w:t>El secuestre recibe el bien bajo inventario y es responsable de su conservación, administración y rendición de cuentas.</w:t>
      </w:r>
    </w:p>
    <w:p w14:paraId="529DCA17" w14:textId="77777777" w:rsidR="006C5AB5" w:rsidRPr="006C5AB5" w:rsidRDefault="006C5AB5" w:rsidP="006C5AB5">
      <w:pPr>
        <w:numPr>
          <w:ilvl w:val="0"/>
          <w:numId w:val="31"/>
        </w:numPr>
        <w:jc w:val="both"/>
        <w:rPr>
          <w:rFonts w:ascii="Arial" w:hAnsi="Arial" w:cs="Arial"/>
          <w:sz w:val="22"/>
          <w:szCs w:val="22"/>
        </w:rPr>
      </w:pPr>
      <w:r w:rsidRPr="006C5AB5">
        <w:rPr>
          <w:rFonts w:ascii="Arial" w:hAnsi="Arial" w:cs="Arial"/>
          <w:sz w:val="22"/>
          <w:szCs w:val="22"/>
        </w:rPr>
        <w:t>No puede usar los bienes en su propio beneficio, ni enajenarlos, ni gravarlos sin autorización judicial.</w:t>
      </w:r>
    </w:p>
    <w:p w14:paraId="0A5EC5A7" w14:textId="77777777" w:rsidR="006C5AB5" w:rsidRPr="006C5AB5" w:rsidRDefault="006C5AB5" w:rsidP="006C5AB5">
      <w:pPr>
        <w:numPr>
          <w:ilvl w:val="0"/>
          <w:numId w:val="31"/>
        </w:numPr>
        <w:jc w:val="both"/>
        <w:rPr>
          <w:rFonts w:ascii="Arial" w:hAnsi="Arial" w:cs="Arial"/>
          <w:sz w:val="22"/>
          <w:szCs w:val="22"/>
        </w:rPr>
      </w:pPr>
      <w:r w:rsidRPr="006C5AB5">
        <w:rPr>
          <w:rFonts w:ascii="Arial" w:hAnsi="Arial" w:cs="Arial"/>
          <w:sz w:val="22"/>
          <w:szCs w:val="22"/>
        </w:rPr>
        <w:t>Debe entregar los frutos y productos del bien al juez o a quien este ordene.</w:t>
      </w:r>
    </w:p>
    <w:p w14:paraId="70D13D5B" w14:textId="77777777" w:rsidR="006C5AB5" w:rsidRPr="006C5AB5" w:rsidRDefault="006C5AB5" w:rsidP="006C5AB5">
      <w:pPr>
        <w:numPr>
          <w:ilvl w:val="0"/>
          <w:numId w:val="31"/>
        </w:numPr>
        <w:jc w:val="both"/>
        <w:rPr>
          <w:rFonts w:ascii="Arial" w:hAnsi="Arial" w:cs="Arial"/>
          <w:sz w:val="22"/>
          <w:szCs w:val="22"/>
        </w:rPr>
      </w:pPr>
      <w:r w:rsidRPr="006C5AB5">
        <w:rPr>
          <w:rFonts w:ascii="Arial" w:hAnsi="Arial" w:cs="Arial"/>
          <w:sz w:val="22"/>
          <w:szCs w:val="22"/>
        </w:rPr>
        <w:t>Su responsabilidad es la del depositario judicial: responde por culpa leve. Si el bien se deteriora por su negligencia, debe indemnizar.</w:t>
      </w:r>
    </w:p>
    <w:p w14:paraId="262BB3E9" w14:textId="77777777" w:rsidR="006C5AB5" w:rsidRPr="006C5AB5" w:rsidRDefault="006C5AB5" w:rsidP="006C5AB5">
      <w:pPr>
        <w:numPr>
          <w:ilvl w:val="0"/>
          <w:numId w:val="31"/>
        </w:numPr>
        <w:jc w:val="both"/>
        <w:rPr>
          <w:rFonts w:ascii="Arial" w:hAnsi="Arial" w:cs="Arial"/>
          <w:sz w:val="22"/>
          <w:szCs w:val="22"/>
        </w:rPr>
      </w:pPr>
      <w:r w:rsidRPr="006C5AB5">
        <w:rPr>
          <w:rFonts w:ascii="Arial" w:hAnsi="Arial" w:cs="Arial"/>
          <w:sz w:val="22"/>
          <w:szCs w:val="22"/>
        </w:rPr>
        <w:t>Puede ser removido por el juez si incumple sus obligaciones o si hay justa causa.</w:t>
      </w:r>
    </w:p>
    <w:p w14:paraId="75A1C231" w14:textId="77777777" w:rsidR="006C5AB5" w:rsidRPr="006C5AB5" w:rsidRDefault="006C5AB5" w:rsidP="006C5AB5">
      <w:pPr>
        <w:jc w:val="both"/>
        <w:rPr>
          <w:rFonts w:ascii="Arial" w:hAnsi="Arial" w:cs="Arial"/>
          <w:sz w:val="22"/>
          <w:szCs w:val="22"/>
        </w:rPr>
      </w:pPr>
    </w:p>
    <w:p w14:paraId="59A3B5C1" w14:textId="77777777" w:rsidR="006C5AB5" w:rsidRPr="006C5AB5" w:rsidRDefault="006C5AB5" w:rsidP="006C5AB5">
      <w:pPr>
        <w:jc w:val="both"/>
        <w:rPr>
          <w:rFonts w:ascii="Arial" w:hAnsi="Arial" w:cs="Arial"/>
          <w:sz w:val="22"/>
          <w:szCs w:val="22"/>
        </w:rPr>
      </w:pPr>
      <w:r w:rsidRPr="006C5AB5">
        <w:rPr>
          <w:rFonts w:ascii="Arial" w:hAnsi="Arial" w:cs="Arial"/>
          <w:b/>
          <w:bCs/>
          <w:sz w:val="22"/>
          <w:szCs w:val="22"/>
          <w:u w:val="single"/>
        </w:rPr>
        <w:t>3.7.4 El Curador Ad Liten</w:t>
      </w:r>
    </w:p>
    <w:p w14:paraId="788092F0" w14:textId="77777777" w:rsidR="006C5AB5" w:rsidRPr="006C5AB5" w:rsidRDefault="006C5AB5" w:rsidP="006C5AB5">
      <w:pPr>
        <w:jc w:val="both"/>
        <w:rPr>
          <w:rFonts w:ascii="Arial" w:hAnsi="Arial" w:cs="Arial"/>
          <w:sz w:val="22"/>
          <w:szCs w:val="22"/>
        </w:rPr>
      </w:pPr>
      <w:r w:rsidRPr="006C5AB5">
        <w:rPr>
          <w:rFonts w:ascii="Arial" w:hAnsi="Arial" w:cs="Arial"/>
          <w:sz w:val="22"/>
          <w:szCs w:val="22"/>
        </w:rPr>
        <w:t>El CURADOR AD LITEN es el auxiliar de la justicia designado para representar en el proceso a personas que carecen de representante legal o cuyo paradero se desconoce, cuando estas personas deben ser vinculadas al proceso como parte.</w:t>
      </w:r>
    </w:p>
    <w:p w14:paraId="7791FB9E" w14:textId="77777777" w:rsidR="006C5AB5" w:rsidRPr="006C5AB5" w:rsidRDefault="006C5AB5" w:rsidP="006C5AB5">
      <w:pPr>
        <w:jc w:val="both"/>
        <w:rPr>
          <w:rFonts w:ascii="Arial" w:hAnsi="Arial" w:cs="Arial"/>
          <w:sz w:val="22"/>
          <w:szCs w:val="22"/>
        </w:rPr>
      </w:pPr>
      <w:r w:rsidRPr="006C5AB5">
        <w:rPr>
          <w:rFonts w:ascii="Arial" w:hAnsi="Arial" w:cs="Arial"/>
          <w:sz w:val="22"/>
          <w:szCs w:val="22"/>
        </w:rPr>
        <w:t>El curador ad liten no es el abogado de la parte a quien representa: es un representante procesal temporal cuya función es garantizar que esa parte -ausente o sin representante- pueda ser oída y su derecho de defensa sea respetado. Su designación se produce específicamente para ese proceso y termina cuando la causa que la origino cesa.</w:t>
      </w:r>
    </w:p>
    <w:tbl>
      <w:tblPr>
        <w:tblW w:w="0" w:type="auto"/>
        <w:tblCellMar>
          <w:top w:w="15" w:type="dxa"/>
          <w:left w:w="15" w:type="dxa"/>
          <w:bottom w:w="15" w:type="dxa"/>
          <w:right w:w="15" w:type="dxa"/>
        </w:tblCellMar>
        <w:tblLook w:val="04A0" w:firstRow="1" w:lastRow="0" w:firstColumn="1" w:lastColumn="0" w:noHBand="0" w:noVBand="1"/>
      </w:tblPr>
      <w:tblGrid>
        <w:gridCol w:w="8828"/>
      </w:tblGrid>
      <w:tr w:rsidR="006C5AB5" w:rsidRPr="006C5AB5" w14:paraId="755CDC2B"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DE7F6"/>
            <w:tcMar>
              <w:top w:w="140" w:type="dxa"/>
              <w:left w:w="200" w:type="dxa"/>
              <w:bottom w:w="140" w:type="dxa"/>
              <w:right w:w="200" w:type="dxa"/>
            </w:tcMar>
            <w:hideMark/>
          </w:tcPr>
          <w:p w14:paraId="366ED51C" w14:textId="77777777" w:rsidR="006C5AB5" w:rsidRPr="006C5AB5" w:rsidRDefault="006C5AB5" w:rsidP="00DD2DD5">
            <w:pPr>
              <w:jc w:val="both"/>
              <w:rPr>
                <w:rFonts w:ascii="Arial" w:hAnsi="Arial" w:cs="Arial"/>
                <w:sz w:val="22"/>
                <w:szCs w:val="22"/>
              </w:rPr>
            </w:pPr>
            <w:r w:rsidRPr="006C5AB5">
              <w:rPr>
                <w:rFonts w:ascii="Arial" w:hAnsi="Arial" w:cs="Arial"/>
                <w:b/>
                <w:bCs/>
                <w:sz w:val="22"/>
                <w:szCs w:val="22"/>
              </w:rPr>
              <w:t>CUANDO SE DESIGNA CURADOR AD LITEN</w:t>
            </w:r>
          </w:p>
          <w:p w14:paraId="54F25EA0" w14:textId="77777777" w:rsidR="006C5AB5" w:rsidRPr="006C5AB5" w:rsidRDefault="006C5AB5" w:rsidP="006C5AB5">
            <w:pPr>
              <w:numPr>
                <w:ilvl w:val="0"/>
                <w:numId w:val="32"/>
              </w:numPr>
              <w:jc w:val="both"/>
              <w:rPr>
                <w:rFonts w:ascii="Arial" w:hAnsi="Arial" w:cs="Arial"/>
                <w:sz w:val="22"/>
                <w:szCs w:val="22"/>
              </w:rPr>
            </w:pPr>
            <w:r w:rsidRPr="006C5AB5">
              <w:rPr>
                <w:rFonts w:ascii="Arial" w:hAnsi="Arial" w:cs="Arial"/>
                <w:sz w:val="22"/>
                <w:szCs w:val="22"/>
              </w:rPr>
              <w:t>Cuando el demandado es una persona cuyo paradero se desconoce y no ha podido ser notificado por ningún medio. Art. 108 CGP.</w:t>
            </w:r>
          </w:p>
          <w:p w14:paraId="7124F697" w14:textId="77777777" w:rsidR="006C5AB5" w:rsidRPr="006C5AB5" w:rsidRDefault="006C5AB5" w:rsidP="006C5AB5">
            <w:pPr>
              <w:numPr>
                <w:ilvl w:val="0"/>
                <w:numId w:val="32"/>
              </w:numPr>
              <w:jc w:val="both"/>
              <w:rPr>
                <w:rFonts w:ascii="Arial" w:hAnsi="Arial" w:cs="Arial"/>
                <w:sz w:val="22"/>
                <w:szCs w:val="22"/>
              </w:rPr>
            </w:pPr>
            <w:r w:rsidRPr="006C5AB5">
              <w:rPr>
                <w:rFonts w:ascii="Arial" w:hAnsi="Arial" w:cs="Arial"/>
                <w:sz w:val="22"/>
                <w:szCs w:val="22"/>
              </w:rPr>
              <w:t>Cuando un menor de edad carece de representante legal o cuando sus representantes tienen intereses contrarios a los suyos.</w:t>
            </w:r>
          </w:p>
          <w:p w14:paraId="3214F039" w14:textId="77777777" w:rsidR="006C5AB5" w:rsidRPr="006C5AB5" w:rsidRDefault="006C5AB5" w:rsidP="006C5AB5">
            <w:pPr>
              <w:numPr>
                <w:ilvl w:val="0"/>
                <w:numId w:val="32"/>
              </w:numPr>
              <w:jc w:val="both"/>
              <w:rPr>
                <w:rFonts w:ascii="Arial" w:hAnsi="Arial" w:cs="Arial"/>
                <w:sz w:val="22"/>
                <w:szCs w:val="22"/>
              </w:rPr>
            </w:pPr>
            <w:r w:rsidRPr="006C5AB5">
              <w:rPr>
                <w:rFonts w:ascii="Arial" w:hAnsi="Arial" w:cs="Arial"/>
                <w:sz w:val="22"/>
                <w:szCs w:val="22"/>
              </w:rPr>
              <w:t>En los procesos de interdicción, para representar al presunto interdicto.</w:t>
            </w:r>
          </w:p>
          <w:p w14:paraId="68508DCD" w14:textId="77777777" w:rsidR="006C5AB5" w:rsidRPr="006C5AB5" w:rsidRDefault="006C5AB5" w:rsidP="006C5AB5">
            <w:pPr>
              <w:numPr>
                <w:ilvl w:val="0"/>
                <w:numId w:val="32"/>
              </w:numPr>
              <w:jc w:val="both"/>
              <w:rPr>
                <w:rFonts w:ascii="Arial" w:hAnsi="Arial" w:cs="Arial"/>
                <w:sz w:val="22"/>
                <w:szCs w:val="22"/>
              </w:rPr>
            </w:pPr>
            <w:r w:rsidRPr="006C5AB5">
              <w:rPr>
                <w:rFonts w:ascii="Arial" w:hAnsi="Arial" w:cs="Arial"/>
                <w:sz w:val="22"/>
                <w:szCs w:val="22"/>
              </w:rPr>
              <w:t>Cuando el demandado fallece durante el proceso y sus herederos no comparecen oportunamente. Art. 68 CGP.</w:t>
            </w:r>
          </w:p>
        </w:tc>
      </w:tr>
    </w:tbl>
    <w:p w14:paraId="067750A4" w14:textId="77777777" w:rsidR="006C5AB5" w:rsidRPr="006C5AB5" w:rsidRDefault="006C5AB5" w:rsidP="006C5AB5">
      <w:pPr>
        <w:jc w:val="both"/>
        <w:rPr>
          <w:rFonts w:ascii="Arial" w:hAnsi="Arial" w:cs="Arial"/>
          <w:sz w:val="22"/>
          <w:szCs w:val="22"/>
        </w:rPr>
      </w:pPr>
    </w:p>
    <w:p w14:paraId="2A5D502A" w14:textId="77777777" w:rsidR="006C5AB5" w:rsidRPr="006C5AB5" w:rsidRDefault="006C5AB5" w:rsidP="006C5AB5">
      <w:pPr>
        <w:jc w:val="both"/>
        <w:rPr>
          <w:rFonts w:ascii="Arial" w:hAnsi="Arial" w:cs="Arial"/>
          <w:sz w:val="22"/>
          <w:szCs w:val="22"/>
        </w:rPr>
      </w:pPr>
      <w:r w:rsidRPr="006C5AB5">
        <w:rPr>
          <w:rFonts w:ascii="Arial" w:hAnsi="Arial" w:cs="Arial"/>
          <w:b/>
          <w:bCs/>
          <w:sz w:val="22"/>
          <w:szCs w:val="22"/>
          <w:u w:val="single"/>
        </w:rPr>
        <w:t>3.7.5 El Partidor y el Liquidador</w:t>
      </w:r>
    </w:p>
    <w:p w14:paraId="58D911A8" w14:textId="77777777" w:rsidR="006C5AB5" w:rsidRPr="006C5AB5" w:rsidRDefault="006C5AB5" w:rsidP="006C5AB5">
      <w:pPr>
        <w:jc w:val="both"/>
        <w:rPr>
          <w:rFonts w:ascii="Arial" w:hAnsi="Arial" w:cs="Arial"/>
          <w:sz w:val="22"/>
          <w:szCs w:val="22"/>
        </w:rPr>
      </w:pPr>
      <w:r w:rsidRPr="006C5AB5">
        <w:rPr>
          <w:rFonts w:ascii="Arial" w:hAnsi="Arial" w:cs="Arial"/>
          <w:sz w:val="22"/>
          <w:szCs w:val="22"/>
        </w:rPr>
        <w:lastRenderedPageBreak/>
        <w:t>El PARTIDOR es el auxiliar de la justicia experto en la liquidación y distribución de bienes comunes. Se designa en los procesos de sucesión y de liquidación de sociedad conyugal para elaborar el trabajo de partición: determinar a cuanto tiene derecho cada uno de los interesados y asignarles los bienes correspondientes.</w:t>
      </w:r>
    </w:p>
    <w:p w14:paraId="1A872EED" w14:textId="77777777" w:rsidR="006C5AB5" w:rsidRPr="006C5AB5" w:rsidRDefault="006C5AB5" w:rsidP="006C5AB5">
      <w:pPr>
        <w:jc w:val="both"/>
        <w:rPr>
          <w:rFonts w:ascii="Arial" w:hAnsi="Arial" w:cs="Arial"/>
          <w:sz w:val="22"/>
          <w:szCs w:val="22"/>
        </w:rPr>
      </w:pPr>
      <w:r w:rsidRPr="006C5AB5">
        <w:rPr>
          <w:rFonts w:ascii="Arial" w:hAnsi="Arial" w:cs="Arial"/>
          <w:sz w:val="22"/>
          <w:szCs w:val="22"/>
        </w:rPr>
        <w:t>El LIQUIDADOR es el auxiliar designado en los procesos concursales (insolvencia de persona natural no comerciante, regulada en el Art. 531 y ss. del CGP) para administrar el patrimonio del deudor, cobrar los créditos, vender los activos y distribuir el producto entre los acreedores en el orden de prelación legal.</w:t>
      </w:r>
    </w:p>
    <w:p w14:paraId="4F200C38" w14:textId="77777777" w:rsidR="006C5AB5" w:rsidRPr="006C5AB5" w:rsidRDefault="006C5AB5" w:rsidP="006C5AB5">
      <w:pPr>
        <w:jc w:val="both"/>
        <w:rPr>
          <w:rFonts w:ascii="Arial" w:hAnsi="Arial" w:cs="Arial"/>
          <w:sz w:val="22"/>
          <w:szCs w:val="22"/>
        </w:rPr>
      </w:pPr>
    </w:p>
    <w:tbl>
      <w:tblPr>
        <w:tblW w:w="0" w:type="auto"/>
        <w:tblCellMar>
          <w:top w:w="15" w:type="dxa"/>
          <w:left w:w="15" w:type="dxa"/>
          <w:bottom w:w="15" w:type="dxa"/>
          <w:right w:w="15" w:type="dxa"/>
        </w:tblCellMar>
        <w:tblLook w:val="04A0" w:firstRow="1" w:lastRow="0" w:firstColumn="1" w:lastColumn="0" w:noHBand="0" w:noVBand="1"/>
      </w:tblPr>
      <w:tblGrid>
        <w:gridCol w:w="2245"/>
        <w:gridCol w:w="2084"/>
        <w:gridCol w:w="2123"/>
        <w:gridCol w:w="2376"/>
      </w:tblGrid>
      <w:tr w:rsidR="006C5AB5" w:rsidRPr="006C5AB5" w14:paraId="08ADBED5"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1B819D2F" w14:textId="77777777" w:rsidR="006C5AB5" w:rsidRPr="006C5AB5" w:rsidRDefault="006C5AB5" w:rsidP="00DD2DD5">
            <w:pPr>
              <w:jc w:val="both"/>
              <w:rPr>
                <w:rFonts w:ascii="Arial" w:hAnsi="Arial" w:cs="Arial"/>
                <w:sz w:val="22"/>
                <w:szCs w:val="22"/>
              </w:rPr>
            </w:pPr>
            <w:r w:rsidRPr="006C5AB5">
              <w:rPr>
                <w:rFonts w:ascii="Arial" w:hAnsi="Arial" w:cs="Arial"/>
                <w:b/>
                <w:bCs/>
                <w:sz w:val="22"/>
                <w:szCs w:val="22"/>
              </w:rPr>
              <w:t>AUXILIAR</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5677C992" w14:textId="77777777" w:rsidR="006C5AB5" w:rsidRPr="006C5AB5" w:rsidRDefault="006C5AB5" w:rsidP="00DD2DD5">
            <w:pPr>
              <w:jc w:val="both"/>
              <w:rPr>
                <w:rFonts w:ascii="Arial" w:hAnsi="Arial" w:cs="Arial"/>
                <w:sz w:val="22"/>
                <w:szCs w:val="22"/>
              </w:rPr>
            </w:pPr>
            <w:r w:rsidRPr="006C5AB5">
              <w:rPr>
                <w:rFonts w:ascii="Arial" w:hAnsi="Arial" w:cs="Arial"/>
                <w:b/>
                <w:bCs/>
                <w:sz w:val="22"/>
                <w:szCs w:val="22"/>
              </w:rPr>
              <w:t>PROCESO EN QUE INTERVIENE</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4C7CDA67" w14:textId="77777777" w:rsidR="006C5AB5" w:rsidRPr="006C5AB5" w:rsidRDefault="006C5AB5" w:rsidP="00DD2DD5">
            <w:pPr>
              <w:jc w:val="both"/>
              <w:rPr>
                <w:rFonts w:ascii="Arial" w:hAnsi="Arial" w:cs="Arial"/>
                <w:sz w:val="22"/>
                <w:szCs w:val="22"/>
              </w:rPr>
            </w:pPr>
            <w:r w:rsidRPr="006C5AB5">
              <w:rPr>
                <w:rFonts w:ascii="Arial" w:hAnsi="Arial" w:cs="Arial"/>
                <w:b/>
                <w:bCs/>
                <w:sz w:val="22"/>
                <w:szCs w:val="22"/>
              </w:rPr>
              <w:t>FUNCIÓN PRINCIPAL</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6CD37EA0" w14:textId="77777777" w:rsidR="006C5AB5" w:rsidRPr="006C5AB5" w:rsidRDefault="006C5AB5" w:rsidP="00DD2DD5">
            <w:pPr>
              <w:jc w:val="both"/>
              <w:rPr>
                <w:rFonts w:ascii="Arial" w:hAnsi="Arial" w:cs="Arial"/>
                <w:sz w:val="22"/>
                <w:szCs w:val="22"/>
              </w:rPr>
            </w:pPr>
            <w:r w:rsidRPr="006C5AB5">
              <w:rPr>
                <w:rFonts w:ascii="Arial" w:hAnsi="Arial" w:cs="Arial"/>
                <w:b/>
                <w:bCs/>
                <w:sz w:val="22"/>
                <w:szCs w:val="22"/>
              </w:rPr>
              <w:t>REMUNERACIÓN</w:t>
            </w:r>
          </w:p>
        </w:tc>
      </w:tr>
      <w:tr w:rsidR="006C5AB5" w:rsidRPr="006C5AB5" w14:paraId="6B332FE1"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0C7EAADA"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Perito</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726D2CE2"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Cualquier proceso que requiera conocimiento técnico</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615FC313"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Rendir dictamen sobre hechos técnicos o científicos</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31CB9C2D"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Honorarios fijados por el juez según arancel</w:t>
            </w:r>
          </w:p>
        </w:tc>
      </w:tr>
      <w:tr w:rsidR="006C5AB5" w:rsidRPr="006C5AB5" w14:paraId="299691D1"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25C0BA29"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Secuestre</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6DB26E44"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Procesos con medidas cautelares de secuestro</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713D0975"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Custodiar y administrar bienes cautelados</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4DA0B6ED"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Porcentaje del valor de los bienes secuestrados</w:t>
            </w:r>
          </w:p>
        </w:tc>
      </w:tr>
      <w:tr w:rsidR="006C5AB5" w:rsidRPr="006C5AB5" w14:paraId="227542E0"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1064D219"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Curador ad liten</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06DCD464"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Cuando hay ausentes, menores sin representante o interdictos</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60CCA27E"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Representar procesalmente a quien no puede comparecer</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2582B562"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Honorarios fijados por el juez</w:t>
            </w:r>
          </w:p>
        </w:tc>
      </w:tr>
      <w:tr w:rsidR="006C5AB5" w:rsidRPr="006C5AB5" w14:paraId="20127638"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07934FCA"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Partidor</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3968A5A4"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Sucesiones y liquidaciones de comunidades</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7EA75353"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Elaborar el trabajo de partición y adjudicación de bienes</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743493AE"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Porcentaje del valor del activo liquidado</w:t>
            </w:r>
          </w:p>
        </w:tc>
      </w:tr>
      <w:tr w:rsidR="006C5AB5" w:rsidRPr="006C5AB5" w14:paraId="4B3B0979"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7F4E0D7E"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Liquidador</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7068A217"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Procesos de insolvencia de persona natural</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791F4E5A"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Administrar el pasivo y distribuir el activo entre acreedores</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410DD898"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Porcentaje del activo realizado</w:t>
            </w:r>
          </w:p>
        </w:tc>
      </w:tr>
      <w:tr w:rsidR="006C5AB5" w:rsidRPr="006C5AB5" w14:paraId="6D94CF59"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32E74106"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Interprete/Traductor</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6CB64364"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Cuando hay partes o pruebas en idioma extranjero</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274446B8"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Traducir documentos y verter el idioma en audiencias</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0159D032" w14:textId="77777777" w:rsidR="006C5AB5" w:rsidRPr="006C5AB5" w:rsidRDefault="006C5AB5" w:rsidP="00DD2DD5">
            <w:pPr>
              <w:jc w:val="both"/>
              <w:rPr>
                <w:rFonts w:ascii="Arial" w:hAnsi="Arial" w:cs="Arial"/>
                <w:sz w:val="22"/>
                <w:szCs w:val="22"/>
              </w:rPr>
            </w:pPr>
            <w:r w:rsidRPr="006C5AB5">
              <w:rPr>
                <w:rFonts w:ascii="Arial" w:hAnsi="Arial" w:cs="Arial"/>
                <w:sz w:val="22"/>
                <w:szCs w:val="22"/>
              </w:rPr>
              <w:t>Honorarios fijados por el juez</w:t>
            </w:r>
          </w:p>
        </w:tc>
      </w:tr>
    </w:tbl>
    <w:p w14:paraId="00E38A97" w14:textId="77777777" w:rsidR="006C5AB5" w:rsidRPr="006C5AB5" w:rsidRDefault="006C5AB5" w:rsidP="006C5AB5">
      <w:pPr>
        <w:jc w:val="both"/>
        <w:rPr>
          <w:rFonts w:ascii="Arial" w:hAnsi="Arial" w:cs="Arial"/>
          <w:sz w:val="22"/>
          <w:szCs w:val="22"/>
        </w:rPr>
      </w:pPr>
    </w:p>
    <w:p w14:paraId="6469321E" w14:textId="77777777" w:rsidR="00012688" w:rsidRPr="006C5AB5" w:rsidRDefault="00012688" w:rsidP="006C5AB5">
      <w:pPr>
        <w:rPr>
          <w:rFonts w:ascii="Arial" w:hAnsi="Arial" w:cs="Arial"/>
        </w:rPr>
      </w:pPr>
    </w:p>
    <w:sectPr w:rsidR="00012688" w:rsidRPr="006C5AB5">
      <w:headerReference w:type="default" r:id="rId7"/>
      <w:footerReference w:type="default" r:id="rId8"/>
      <w:pgSz w:w="12240" w:h="15840"/>
      <w:pgMar w:top="1417" w:right="1701"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BD916E" w14:textId="77777777" w:rsidR="00C24B55" w:rsidRDefault="00C24B55">
      <w:r>
        <w:separator/>
      </w:r>
    </w:p>
  </w:endnote>
  <w:endnote w:type="continuationSeparator" w:id="0">
    <w:p w14:paraId="7F196963" w14:textId="77777777" w:rsidR="00C24B55" w:rsidRDefault="00C24B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F41F25A5-49AA-44F2-8549-EC67E51F2ECA}"/>
    <w:embedBold r:id="rId2" w:fontKey="{D1DB887B-8755-4469-A6DA-47D7F9CA7DC9}"/>
    <w:embedItalic r:id="rId3" w:fontKey="{7FA00A87-B6BC-478B-ABC6-63C682DDFBAA}"/>
  </w:font>
  <w:font w:name="Cambria">
    <w:panose1 w:val="02040503050406030204"/>
    <w:charset w:val="00"/>
    <w:family w:val="roman"/>
    <w:pitch w:val="variable"/>
    <w:sig w:usb0="E00006FF" w:usb1="420024FF" w:usb2="02000000" w:usb3="00000000" w:csb0="0000019F" w:csb1="00000000"/>
    <w:embedRegular r:id="rId4" w:fontKey="{36137AFA-4370-467D-B894-757AE38A890E}"/>
    <w:embedItalic r:id="rId5" w:fontKey="{EA416310-EBA1-4481-AE8A-B3D682DE3C72}"/>
  </w:font>
  <w:font w:name="Georgia">
    <w:panose1 w:val="02040502050405020303"/>
    <w:charset w:val="00"/>
    <w:family w:val="roman"/>
    <w:pitch w:val="variable"/>
    <w:sig w:usb0="00000287" w:usb1="00000000" w:usb2="00000000" w:usb3="00000000" w:csb0="0000009F" w:csb1="00000000"/>
    <w:embedItalic r:id="rId6" w:fontKey="{BD984058-B2CA-444A-8150-A1E9AF163052}"/>
  </w:font>
  <w:font w:name="Arial">
    <w:panose1 w:val="020B0604020202020204"/>
    <w:charset w:val="00"/>
    <w:family w:val="swiss"/>
    <w:pitch w:val="variable"/>
    <w:sig w:usb0="E0002EFF" w:usb1="C000785B" w:usb2="00000009" w:usb3="00000000" w:csb0="000001FF" w:csb1="00000000"/>
  </w:font>
  <w:font w:name="Poppins ExtraLight">
    <w:charset w:val="00"/>
    <w:family w:val="auto"/>
    <w:pitch w:val="variable"/>
    <w:sig w:usb0="00008007" w:usb1="00000000" w:usb2="00000000" w:usb3="00000000" w:csb0="00000093" w:csb1="00000000"/>
    <w:embedRegular r:id="rId7" w:fontKey="{21436541-A9FB-41EA-88EB-DCC99E2FDDD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260658" w14:textId="77777777" w:rsidR="00012688" w:rsidRDefault="00000000">
    <w:pPr>
      <w:pBdr>
        <w:top w:val="nil"/>
        <w:left w:val="nil"/>
        <w:bottom w:val="nil"/>
        <w:right w:val="nil"/>
        <w:between w:val="nil"/>
      </w:pBdr>
      <w:tabs>
        <w:tab w:val="center" w:pos="4419"/>
        <w:tab w:val="right" w:pos="8838"/>
      </w:tabs>
      <w:jc w:val="center"/>
      <w:rPr>
        <w:rFonts w:ascii="Poppins ExtraLight" w:eastAsia="Poppins ExtraLight" w:hAnsi="Poppins ExtraLight" w:cs="Poppins ExtraLight"/>
        <w:color w:val="B7B7B7"/>
      </w:rPr>
    </w:pPr>
    <w:r>
      <w:rPr>
        <w:noProof/>
      </w:rPr>
      <mc:AlternateContent>
        <mc:Choice Requires="wpg">
          <w:drawing>
            <wp:inline distT="114300" distB="114300" distL="114300" distR="114300" wp14:anchorId="32933D76" wp14:editId="55A9953C">
              <wp:extent cx="5612130" cy="12700"/>
              <wp:effectExtent l="0" t="0" r="0" b="0"/>
              <wp:docPr id="3" name="Conector recto de flecha 3"/>
              <wp:cNvGraphicFramePr/>
              <a:graphic xmlns:a="http://schemas.openxmlformats.org/drawingml/2006/main">
                <a:graphicData uri="http://schemas.microsoft.com/office/word/2010/wordprocessingShape">
                  <wps:wsp>
                    <wps:cNvCnPr/>
                    <wps:spPr>
                      <a:xfrm>
                        <a:off x="0" y="3780000"/>
                        <a:ext cx="10692000" cy="0"/>
                      </a:xfrm>
                      <a:prstGeom prst="straightConnector1">
                        <a:avLst/>
                      </a:prstGeom>
                      <a:noFill/>
                      <a:ln w="9525" cap="flat" cmpd="sng">
                        <a:solidFill>
                          <a:srgbClr val="BF9000"/>
                        </a:solidFill>
                        <a:prstDash val="solid"/>
                        <a:round/>
                        <a:headEnd type="none" w="sm" len="sm"/>
                        <a:tailEnd type="none" w="sm" len="sm"/>
                      </a:ln>
                    </wps:spPr>
                    <wps:bodyPr/>
                  </wps:wsp>
                </a:graphicData>
              </a:graphic>
            </wp:inline>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114300" distT="114300" distL="114300" distR="114300">
              <wp:extent cx="5612130" cy="12700"/>
              <wp:effectExtent b="0" l="0" r="0" t="0"/>
              <wp:docPr id="3" name="image4.png"/>
              <a:graphic>
                <a:graphicData uri="http://schemas.openxmlformats.org/drawingml/2006/picture">
                  <pic:pic>
                    <pic:nvPicPr>
                      <pic:cNvPr id="0" name="image4.png"/>
                      <pic:cNvPicPr preferRelativeResize="0"/>
                    </pic:nvPicPr>
                    <pic:blipFill>
                      <a:blip r:embed="rId1"/>
                      <a:srcRect/>
                      <a:stretch>
                        <a:fillRect/>
                      </a:stretch>
                    </pic:blipFill>
                    <pic:spPr>
                      <a:xfrm>
                        <a:off x="0" y="0"/>
                        <a:ext cx="5612130" cy="12700"/>
                      </a:xfrm>
                      <a:prstGeom prst="rect"/>
                      <a:ln/>
                    </pic:spPr>
                  </pic:pic>
                </a:graphicData>
              </a:graphic>
            </wp:inline>
          </w:drawing>
        </mc:Fallback>
      </mc:AlternateContent>
    </w:r>
    <w:r>
      <w:rPr>
        <w:rFonts w:ascii="Poppins ExtraLight" w:eastAsia="Poppins ExtraLight" w:hAnsi="Poppins ExtraLight" w:cs="Poppins ExtraLight"/>
        <w:color w:val="B7B7B7"/>
      </w:rPr>
      <w:t xml:space="preserve">w </w:t>
    </w:r>
    <w:proofErr w:type="spellStart"/>
    <w:r>
      <w:rPr>
        <w:rFonts w:ascii="Poppins ExtraLight" w:eastAsia="Poppins ExtraLight" w:hAnsi="Poppins ExtraLight" w:cs="Poppins ExtraLight"/>
        <w:color w:val="B7B7B7"/>
      </w:rPr>
      <w:t>w</w:t>
    </w:r>
    <w:proofErr w:type="spellEnd"/>
    <w:r>
      <w:rPr>
        <w:rFonts w:ascii="Poppins ExtraLight" w:eastAsia="Poppins ExtraLight" w:hAnsi="Poppins ExtraLight" w:cs="Poppins ExtraLight"/>
        <w:color w:val="B7B7B7"/>
      </w:rPr>
      <w:t xml:space="preserve"> </w:t>
    </w:r>
    <w:proofErr w:type="spellStart"/>
    <w:r>
      <w:rPr>
        <w:rFonts w:ascii="Poppins ExtraLight" w:eastAsia="Poppins ExtraLight" w:hAnsi="Poppins ExtraLight" w:cs="Poppins ExtraLight"/>
        <w:color w:val="B7B7B7"/>
      </w:rPr>
      <w:t>w</w:t>
    </w:r>
    <w:proofErr w:type="spellEnd"/>
    <w:r>
      <w:rPr>
        <w:rFonts w:ascii="Poppins ExtraLight" w:eastAsia="Poppins ExtraLight" w:hAnsi="Poppins ExtraLight" w:cs="Poppins ExtraLight"/>
        <w:color w:val="B7B7B7"/>
      </w:rPr>
      <w:t xml:space="preserve"> . n e o u p r o . c o m</w:t>
    </w:r>
    <w:r>
      <w:rPr>
        <w:noProof/>
      </w:rPr>
      <mc:AlternateContent>
        <mc:Choice Requires="wpg">
          <w:drawing>
            <wp:anchor distT="0" distB="0" distL="114300" distR="114300" simplePos="0" relativeHeight="251658240" behindDoc="0" locked="0" layoutInCell="1" hidden="0" allowOverlap="1" wp14:anchorId="65CEEF91" wp14:editId="4EC98689">
              <wp:simplePos x="0" y="0"/>
              <wp:positionH relativeFrom="column">
                <wp:posOffset>-786888</wp:posOffset>
              </wp:positionH>
              <wp:positionV relativeFrom="paragraph">
                <wp:posOffset>-177034</wp:posOffset>
              </wp:positionV>
              <wp:extent cx="12700" cy="12700"/>
              <wp:effectExtent l="0" t="0" r="0" b="0"/>
              <wp:wrapNone/>
              <wp:docPr id="4" name="Conector recto de flecha 4"/>
              <wp:cNvGraphicFramePr/>
              <a:graphic xmlns:a="http://schemas.openxmlformats.org/drawingml/2006/main">
                <a:graphicData uri="http://schemas.microsoft.com/office/word/2010/wordprocessingShape">
                  <wps:wsp>
                    <wps:cNvCnPr/>
                    <wps:spPr>
                      <a:xfrm>
                        <a:off x="1742038" y="3780000"/>
                        <a:ext cx="7207924" cy="0"/>
                      </a:xfrm>
                      <a:prstGeom prst="straightConnector1">
                        <a:avLst/>
                      </a:prstGeom>
                      <a:noFill/>
                      <a:ln w="9525" cap="flat" cmpd="sng">
                        <a:solidFill>
                          <a:srgbClr val="C7A95E"/>
                        </a:solidFill>
                        <a:prstDash val="solid"/>
                        <a:miter lim="800000"/>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-786888</wp:posOffset>
              </wp:positionH>
              <wp:positionV relativeFrom="paragraph">
                <wp:posOffset>-177034</wp:posOffset>
              </wp:positionV>
              <wp:extent cx="12700" cy="12700"/>
              <wp:effectExtent b="0" l="0" r="0" t="0"/>
              <wp:wrapNone/>
              <wp:docPr id="4" name="image5.png"/>
              <a:graphic>
                <a:graphicData uri="http://schemas.openxmlformats.org/drawingml/2006/picture">
                  <pic:pic>
                    <pic:nvPicPr>
                      <pic:cNvPr id="0" name="image5.png"/>
                      <pic:cNvPicPr preferRelativeResize="0"/>
                    </pic:nvPicPr>
                    <pic:blipFill>
                      <a:blip r:embed="rId1"/>
                      <a:srcRect/>
                      <a:stretch>
                        <a:fillRect/>
                      </a:stretch>
                    </pic:blipFill>
                    <pic:spPr>
                      <a:xfrm>
                        <a:off x="0" y="0"/>
                        <a:ext cx="12700" cy="12700"/>
                      </a:xfrm>
                      <a:prstGeom prst="rect"/>
                      <a:ln/>
                    </pic:spPr>
                  </pic:pic>
                </a:graphicData>
              </a:graphic>
            </wp:anchor>
          </w:drawing>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0BFC5F5" w14:textId="77777777" w:rsidR="00C24B55" w:rsidRDefault="00C24B55">
      <w:r>
        <w:separator/>
      </w:r>
    </w:p>
  </w:footnote>
  <w:footnote w:type="continuationSeparator" w:id="0">
    <w:p w14:paraId="500990B0" w14:textId="77777777" w:rsidR="00C24B55" w:rsidRDefault="00C24B5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F446DB" w14:textId="77777777" w:rsidR="00012688" w:rsidRDefault="00000000">
    <w:pPr>
      <w:pBdr>
        <w:top w:val="nil"/>
        <w:left w:val="nil"/>
        <w:bottom w:val="nil"/>
        <w:right w:val="nil"/>
        <w:between w:val="nil"/>
      </w:pBdr>
      <w:tabs>
        <w:tab w:val="center" w:pos="4419"/>
        <w:tab w:val="right" w:pos="8838"/>
        <w:tab w:val="center" w:pos="3731"/>
      </w:tabs>
      <w:rPr>
        <w:color w:val="000000"/>
      </w:rPr>
    </w:pPr>
    <w:r>
      <w:rPr>
        <w:noProof/>
      </w:rPr>
      <w:drawing>
        <wp:anchor distT="0" distB="0" distL="114300" distR="114300" simplePos="0" relativeHeight="251656192" behindDoc="0" locked="0" layoutInCell="1" hidden="0" allowOverlap="1" wp14:anchorId="7D7A1ED4" wp14:editId="50FDA2E6">
          <wp:simplePos x="0" y="0"/>
          <wp:positionH relativeFrom="page">
            <wp:posOffset>1080135</wp:posOffset>
          </wp:positionH>
          <wp:positionV relativeFrom="page">
            <wp:posOffset>404495</wp:posOffset>
          </wp:positionV>
          <wp:extent cx="1228725" cy="499745"/>
          <wp:effectExtent l="0" t="0" r="0" b="0"/>
          <wp:wrapSquare wrapText="bothSides" distT="0" distB="0" distL="114300" distR="114300"/>
          <wp:docPr id="5"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
                  <a:srcRect t="30430" b="28772"/>
                  <a:stretch>
                    <a:fillRect/>
                  </a:stretch>
                </pic:blipFill>
                <pic:spPr>
                  <a:xfrm>
                    <a:off x="0" y="0"/>
                    <a:ext cx="1228725" cy="499745"/>
                  </a:xfrm>
                  <a:prstGeom prst="rect">
                    <a:avLst/>
                  </a:prstGeom>
                  <a:ln/>
                </pic:spPr>
              </pic:pic>
            </a:graphicData>
          </a:graphic>
        </wp:anchor>
      </w:drawing>
    </w:r>
    <w:r>
      <w:pict w14:anchorId="2D5F435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1025" type="#_x0000_t75" alt="" style="position:absolute;margin-left:0;margin-top:0;width:441.9pt;height:441.9pt;z-index:-251657216;mso-position-horizontal:center;mso-position-horizontal-relative:margin;mso-position-vertical:center;mso-position-vertical-relative:margin">
          <v:imagedata r:id="rId2" o:title="image3" gain="19661f" blacklevel="22938f"/>
          <w10:wrap anchorx="margin" anchory="margin"/>
        </v:shape>
      </w:pict>
    </w:r>
    <w:r>
      <w:rPr>
        <w:color w:val="000000"/>
      </w:rPr>
      <w:tab/>
    </w:r>
    <w:r>
      <w:rPr>
        <w:noProof/>
      </w:rPr>
      <mc:AlternateContent>
        <mc:Choice Requires="wpg">
          <w:drawing>
            <wp:anchor distT="0" distB="0" distL="114300" distR="114300" simplePos="0" relativeHeight="251657216" behindDoc="0" locked="0" layoutInCell="1" hidden="0" allowOverlap="1" wp14:anchorId="3AA869FB" wp14:editId="69F68D2F">
              <wp:simplePos x="0" y="0"/>
              <wp:positionH relativeFrom="column">
                <wp:posOffset>-621280</wp:posOffset>
              </wp:positionH>
              <wp:positionV relativeFrom="paragraph">
                <wp:posOffset>560832</wp:posOffset>
              </wp:positionV>
              <wp:extent cx="12700" cy="12700"/>
              <wp:effectExtent l="0" t="0" r="0" b="0"/>
              <wp:wrapNone/>
              <wp:docPr id="2" name="Conector recto de flecha 2"/>
              <wp:cNvGraphicFramePr/>
              <a:graphic xmlns:a="http://schemas.openxmlformats.org/drawingml/2006/main">
                <a:graphicData uri="http://schemas.microsoft.com/office/word/2010/wordprocessingShape">
                  <wps:wsp>
                    <wps:cNvCnPr/>
                    <wps:spPr>
                      <a:xfrm>
                        <a:off x="1742038" y="3780000"/>
                        <a:ext cx="7207924" cy="0"/>
                      </a:xfrm>
                      <a:prstGeom prst="straightConnector1">
                        <a:avLst/>
                      </a:prstGeom>
                      <a:noFill/>
                      <a:ln w="9525" cap="flat" cmpd="sng">
                        <a:solidFill>
                          <a:srgbClr val="C7A95E"/>
                        </a:solidFill>
                        <a:prstDash val="solid"/>
                        <a:miter lim="800000"/>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-621280</wp:posOffset>
              </wp:positionH>
              <wp:positionV relativeFrom="paragraph">
                <wp:posOffset>560832</wp:posOffset>
              </wp:positionV>
              <wp:extent cx="12700" cy="12700"/>
              <wp:effectExtent b="0" l="0" r="0" t="0"/>
              <wp:wrapNone/>
              <wp:docPr id="2" name="image2.png"/>
              <a:graphic>
                <a:graphicData uri="http://schemas.openxmlformats.org/drawingml/2006/picture">
                  <pic:pic>
                    <pic:nvPicPr>
                      <pic:cNvPr id="0" name="image2.png"/>
                      <pic:cNvPicPr preferRelativeResize="0"/>
                    </pic:nvPicPr>
                    <pic:blipFill>
                      <a:blip r:embed="rId3"/>
                      <a:srcRect/>
                      <a:stretch>
                        <a:fillRect/>
                      </a:stretch>
                    </pic:blipFill>
                    <pic:spPr>
                      <a:xfrm>
                        <a:off x="0" y="0"/>
                        <a:ext cx="12700" cy="12700"/>
                      </a:xfrm>
                      <a:prstGeom prst="rect"/>
                      <a:ln/>
                    </pic:spPr>
                  </pic:pic>
                </a:graphicData>
              </a:graphic>
            </wp:anchor>
          </w:drawing>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F61148"/>
    <w:multiLevelType w:val="multilevel"/>
    <w:tmpl w:val="43D0F7AA"/>
    <w:lvl w:ilvl="0">
      <w:start w:val="1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1BD694D"/>
    <w:multiLevelType w:val="multilevel"/>
    <w:tmpl w:val="036480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D9833F3"/>
    <w:multiLevelType w:val="multilevel"/>
    <w:tmpl w:val="459A959A"/>
    <w:lvl w:ilvl="0">
      <w:start w:val="1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124C2900"/>
    <w:multiLevelType w:val="multilevel"/>
    <w:tmpl w:val="443E4C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3165625"/>
    <w:multiLevelType w:val="multilevel"/>
    <w:tmpl w:val="FD0A19AC"/>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17276857"/>
    <w:multiLevelType w:val="multilevel"/>
    <w:tmpl w:val="1FDA31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FC632F8"/>
    <w:multiLevelType w:val="multilevel"/>
    <w:tmpl w:val="3A46EF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FE429F8"/>
    <w:multiLevelType w:val="multilevel"/>
    <w:tmpl w:val="B0CE64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0BC7A5D"/>
    <w:multiLevelType w:val="multilevel"/>
    <w:tmpl w:val="0F2A27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7837BD9"/>
    <w:multiLevelType w:val="multilevel"/>
    <w:tmpl w:val="F27079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81B59A0"/>
    <w:multiLevelType w:val="multilevel"/>
    <w:tmpl w:val="0DA85F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8AF0078"/>
    <w:multiLevelType w:val="multilevel"/>
    <w:tmpl w:val="55AE6B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A59563D"/>
    <w:multiLevelType w:val="multilevel"/>
    <w:tmpl w:val="67EEA9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B2A2043"/>
    <w:multiLevelType w:val="multilevel"/>
    <w:tmpl w:val="AFCA54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0416688"/>
    <w:multiLevelType w:val="multilevel"/>
    <w:tmpl w:val="9AF076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30A4613"/>
    <w:multiLevelType w:val="multilevel"/>
    <w:tmpl w:val="0B4496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35BE7FF8"/>
    <w:multiLevelType w:val="multilevel"/>
    <w:tmpl w:val="2B54B1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0EA205C"/>
    <w:multiLevelType w:val="multilevel"/>
    <w:tmpl w:val="5AF255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423E0863"/>
    <w:multiLevelType w:val="multilevel"/>
    <w:tmpl w:val="BAC467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2EB771B"/>
    <w:multiLevelType w:val="multilevel"/>
    <w:tmpl w:val="35EC0B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6183D50"/>
    <w:multiLevelType w:val="multilevel"/>
    <w:tmpl w:val="C1F0CBAC"/>
    <w:lvl w:ilvl="0">
      <w:start w:val="1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46BC676B"/>
    <w:multiLevelType w:val="multilevel"/>
    <w:tmpl w:val="607A9C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7DB5299"/>
    <w:multiLevelType w:val="multilevel"/>
    <w:tmpl w:val="E028FE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A5729A9"/>
    <w:multiLevelType w:val="multilevel"/>
    <w:tmpl w:val="E6F29066"/>
    <w:lvl w:ilvl="0">
      <w:start w:val="1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4D6A1DCD"/>
    <w:multiLevelType w:val="multilevel"/>
    <w:tmpl w:val="D24A0F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D725EE4"/>
    <w:multiLevelType w:val="multilevel"/>
    <w:tmpl w:val="1422C7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5614074B"/>
    <w:multiLevelType w:val="multilevel"/>
    <w:tmpl w:val="FC18D4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65B50DD1"/>
    <w:multiLevelType w:val="multilevel"/>
    <w:tmpl w:val="954CEAE2"/>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65E13AE3"/>
    <w:multiLevelType w:val="multilevel"/>
    <w:tmpl w:val="B9A211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690A6434"/>
    <w:multiLevelType w:val="multilevel"/>
    <w:tmpl w:val="C39846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6D4D694F"/>
    <w:multiLevelType w:val="multilevel"/>
    <w:tmpl w:val="8F74E3E2"/>
    <w:lvl w:ilvl="0">
      <w:start w:val="1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6FC237AD"/>
    <w:multiLevelType w:val="multilevel"/>
    <w:tmpl w:val="4DF880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72417ABF"/>
    <w:multiLevelType w:val="multilevel"/>
    <w:tmpl w:val="6B586C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796B5279"/>
    <w:multiLevelType w:val="multilevel"/>
    <w:tmpl w:val="82BCE1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7C2F73FD"/>
    <w:multiLevelType w:val="multilevel"/>
    <w:tmpl w:val="2362AD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851413056">
    <w:abstractNumId w:val="26"/>
  </w:num>
  <w:num w:numId="2" w16cid:durableId="440540382">
    <w:abstractNumId w:val="28"/>
  </w:num>
  <w:num w:numId="3" w16cid:durableId="925724386">
    <w:abstractNumId w:val="19"/>
  </w:num>
  <w:num w:numId="4" w16cid:durableId="1070425934">
    <w:abstractNumId w:val="7"/>
  </w:num>
  <w:num w:numId="5" w16cid:durableId="1258909092">
    <w:abstractNumId w:val="3"/>
  </w:num>
  <w:num w:numId="6" w16cid:durableId="440345130">
    <w:abstractNumId w:val="24"/>
  </w:num>
  <w:num w:numId="7" w16cid:durableId="351304037">
    <w:abstractNumId w:val="34"/>
  </w:num>
  <w:num w:numId="8" w16cid:durableId="2137095679">
    <w:abstractNumId w:val="8"/>
  </w:num>
  <w:num w:numId="9" w16cid:durableId="473640143">
    <w:abstractNumId w:val="29"/>
  </w:num>
  <w:num w:numId="10" w16cid:durableId="751506998">
    <w:abstractNumId w:val="32"/>
  </w:num>
  <w:num w:numId="11" w16cid:durableId="117916955">
    <w:abstractNumId w:val="14"/>
  </w:num>
  <w:num w:numId="12" w16cid:durableId="2116903100">
    <w:abstractNumId w:val="31"/>
  </w:num>
  <w:num w:numId="13" w16cid:durableId="532695029">
    <w:abstractNumId w:val="6"/>
  </w:num>
  <w:num w:numId="14" w16cid:durableId="148836062">
    <w:abstractNumId w:val="18"/>
  </w:num>
  <w:num w:numId="15" w16cid:durableId="409431383">
    <w:abstractNumId w:val="5"/>
  </w:num>
  <w:num w:numId="16" w16cid:durableId="1278099502">
    <w:abstractNumId w:val="33"/>
  </w:num>
  <w:num w:numId="17" w16cid:durableId="1365789249">
    <w:abstractNumId w:val="22"/>
  </w:num>
  <w:num w:numId="18" w16cid:durableId="1209605149">
    <w:abstractNumId w:val="25"/>
  </w:num>
  <w:num w:numId="19" w16cid:durableId="752438683">
    <w:abstractNumId w:val="12"/>
  </w:num>
  <w:num w:numId="20" w16cid:durableId="2030328480">
    <w:abstractNumId w:val="13"/>
  </w:num>
  <w:num w:numId="21" w16cid:durableId="759910160">
    <w:abstractNumId w:val="15"/>
  </w:num>
  <w:num w:numId="22" w16cid:durableId="673797842">
    <w:abstractNumId w:val="4"/>
    <w:lvlOverride w:ilvl="0">
      <w:lvl w:ilvl="0">
        <w:numFmt w:val="decimal"/>
        <w:lvlText w:val="%1."/>
        <w:lvlJc w:val="left"/>
      </w:lvl>
    </w:lvlOverride>
  </w:num>
  <w:num w:numId="23" w16cid:durableId="1782989972">
    <w:abstractNumId w:val="4"/>
    <w:lvlOverride w:ilvl="0">
      <w:lvl w:ilvl="0">
        <w:numFmt w:val="decimal"/>
        <w:lvlText w:val="%1."/>
        <w:lvlJc w:val="left"/>
      </w:lvl>
    </w:lvlOverride>
  </w:num>
  <w:num w:numId="24" w16cid:durableId="854735400">
    <w:abstractNumId w:val="4"/>
    <w:lvlOverride w:ilvl="0">
      <w:lvl w:ilvl="0">
        <w:numFmt w:val="decimal"/>
        <w:lvlText w:val="%1."/>
        <w:lvlJc w:val="left"/>
      </w:lvl>
    </w:lvlOverride>
  </w:num>
  <w:num w:numId="25" w16cid:durableId="2042776343">
    <w:abstractNumId w:val="4"/>
    <w:lvlOverride w:ilvl="0">
      <w:lvl w:ilvl="0">
        <w:numFmt w:val="decimal"/>
        <w:lvlText w:val="%1."/>
        <w:lvlJc w:val="left"/>
      </w:lvl>
    </w:lvlOverride>
  </w:num>
  <w:num w:numId="26" w16cid:durableId="1568151343">
    <w:abstractNumId w:val="4"/>
    <w:lvlOverride w:ilvl="0">
      <w:lvl w:ilvl="0">
        <w:numFmt w:val="decimal"/>
        <w:lvlText w:val="%1."/>
        <w:lvlJc w:val="left"/>
      </w:lvl>
    </w:lvlOverride>
  </w:num>
  <w:num w:numId="27" w16cid:durableId="184488571">
    <w:abstractNumId w:val="4"/>
    <w:lvlOverride w:ilvl="0">
      <w:lvl w:ilvl="0">
        <w:numFmt w:val="decimal"/>
        <w:lvlText w:val="%1."/>
        <w:lvlJc w:val="left"/>
      </w:lvl>
    </w:lvlOverride>
  </w:num>
  <w:num w:numId="28" w16cid:durableId="171722831">
    <w:abstractNumId w:val="1"/>
  </w:num>
  <w:num w:numId="29" w16cid:durableId="1788155262">
    <w:abstractNumId w:val="17"/>
  </w:num>
  <w:num w:numId="30" w16cid:durableId="1497499362">
    <w:abstractNumId w:val="10"/>
  </w:num>
  <w:num w:numId="31" w16cid:durableId="1232229035">
    <w:abstractNumId w:val="21"/>
  </w:num>
  <w:num w:numId="32" w16cid:durableId="1020550969">
    <w:abstractNumId w:val="9"/>
  </w:num>
  <w:num w:numId="33" w16cid:durableId="2015648010">
    <w:abstractNumId w:val="16"/>
  </w:num>
  <w:num w:numId="34" w16cid:durableId="1904060">
    <w:abstractNumId w:val="11"/>
  </w:num>
  <w:num w:numId="35" w16cid:durableId="258174452">
    <w:abstractNumId w:val="27"/>
    <w:lvlOverride w:ilvl="0">
      <w:lvl w:ilvl="0">
        <w:numFmt w:val="decimal"/>
        <w:lvlText w:val="%1."/>
        <w:lvlJc w:val="left"/>
      </w:lvl>
    </w:lvlOverride>
  </w:num>
  <w:num w:numId="36" w16cid:durableId="2088533681">
    <w:abstractNumId w:val="20"/>
    <w:lvlOverride w:ilvl="0">
      <w:lvl w:ilvl="0">
        <w:numFmt w:val="decimal"/>
        <w:lvlText w:val="%1."/>
        <w:lvlJc w:val="left"/>
      </w:lvl>
    </w:lvlOverride>
  </w:num>
  <w:num w:numId="37" w16cid:durableId="1443066170">
    <w:abstractNumId w:val="23"/>
    <w:lvlOverride w:ilvl="0">
      <w:lvl w:ilvl="0">
        <w:numFmt w:val="decimal"/>
        <w:lvlText w:val="%1."/>
        <w:lvlJc w:val="left"/>
      </w:lvl>
    </w:lvlOverride>
  </w:num>
  <w:num w:numId="38" w16cid:durableId="1081566250">
    <w:abstractNumId w:val="2"/>
    <w:lvlOverride w:ilvl="0">
      <w:lvl w:ilvl="0">
        <w:numFmt w:val="decimal"/>
        <w:lvlText w:val="%1."/>
        <w:lvlJc w:val="left"/>
      </w:lvl>
    </w:lvlOverride>
  </w:num>
  <w:num w:numId="39" w16cid:durableId="1105493998">
    <w:abstractNumId w:val="0"/>
    <w:lvlOverride w:ilvl="0">
      <w:lvl w:ilvl="0">
        <w:numFmt w:val="decimal"/>
        <w:lvlText w:val="%1."/>
        <w:lvlJc w:val="left"/>
      </w:lvl>
    </w:lvlOverride>
  </w:num>
  <w:num w:numId="40" w16cid:durableId="1826314189">
    <w:abstractNumId w:val="30"/>
    <w:lvlOverride w:ilvl="0">
      <w:lvl w:ilvl="0">
        <w:numFmt w:val="decimal"/>
        <w:lvlText w:val="%1."/>
        <w:lvlJc w:val="left"/>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12688"/>
    <w:rsid w:val="00012688"/>
    <w:rsid w:val="00050678"/>
    <w:rsid w:val="001E4B1A"/>
    <w:rsid w:val="002E3E10"/>
    <w:rsid w:val="00483C86"/>
    <w:rsid w:val="006C5AB5"/>
    <w:rsid w:val="00C24B55"/>
    <w:rsid w:val="00D949FA"/>
    <w:rsid w:val="00EA58FA"/>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8BE8641"/>
  <w15:docId w15:val="{831EB0B0-9437-4DE9-859D-A1EEF620CF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4"/>
        <w:szCs w:val="24"/>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pPr>
      <w:keepNext/>
      <w:keepLines/>
      <w:spacing w:before="480" w:after="120"/>
      <w:outlineLvl w:val="0"/>
    </w:pPr>
    <w:rPr>
      <w:b/>
      <w:bCs/>
      <w:sz w:val="48"/>
      <w:szCs w:val="48"/>
    </w:rPr>
  </w:style>
  <w:style w:type="paragraph" w:styleId="Ttulo2">
    <w:name w:val="heading 2"/>
    <w:basedOn w:val="Normal"/>
    <w:next w:val="Normal"/>
    <w:link w:val="Ttulo2Car"/>
    <w:uiPriority w:val="9"/>
    <w:semiHidden/>
    <w:unhideWhenUsed/>
    <w:qFormat/>
    <w:pPr>
      <w:keepNext/>
      <w:keepLines/>
      <w:spacing w:before="360" w:after="80"/>
      <w:outlineLvl w:val="1"/>
    </w:pPr>
    <w:rPr>
      <w:b/>
      <w:bCs/>
      <w:sz w:val="36"/>
      <w:szCs w:val="36"/>
    </w:rPr>
  </w:style>
  <w:style w:type="paragraph" w:styleId="Ttulo3">
    <w:name w:val="heading 3"/>
    <w:basedOn w:val="Normal"/>
    <w:next w:val="Normal"/>
    <w:link w:val="Ttulo3Car"/>
    <w:uiPriority w:val="9"/>
    <w:semiHidden/>
    <w:unhideWhenUsed/>
    <w:qFormat/>
    <w:pPr>
      <w:keepNext/>
      <w:keepLines/>
      <w:spacing w:before="280" w:after="80"/>
      <w:outlineLvl w:val="2"/>
    </w:pPr>
    <w:rPr>
      <w:b/>
      <w:bCs/>
      <w:sz w:val="28"/>
      <w:szCs w:val="28"/>
    </w:rPr>
  </w:style>
  <w:style w:type="paragraph" w:styleId="Ttulo4">
    <w:name w:val="heading 4"/>
    <w:basedOn w:val="Normal"/>
    <w:next w:val="Normal"/>
    <w:link w:val="Ttulo4Car"/>
    <w:uiPriority w:val="9"/>
    <w:semiHidden/>
    <w:unhideWhenUsed/>
    <w:qFormat/>
    <w:pPr>
      <w:keepNext/>
      <w:keepLines/>
      <w:spacing w:before="240" w:after="40"/>
      <w:outlineLvl w:val="3"/>
    </w:pPr>
    <w:rPr>
      <w:b/>
      <w:bCs/>
    </w:rPr>
  </w:style>
  <w:style w:type="paragraph" w:styleId="Ttulo5">
    <w:name w:val="heading 5"/>
    <w:basedOn w:val="Normal"/>
    <w:next w:val="Normal"/>
    <w:link w:val="Ttulo5Car"/>
    <w:uiPriority w:val="9"/>
    <w:semiHidden/>
    <w:unhideWhenUsed/>
    <w:qFormat/>
    <w:pPr>
      <w:keepNext/>
      <w:keepLines/>
      <w:spacing w:before="220" w:after="40"/>
      <w:outlineLvl w:val="4"/>
    </w:pPr>
    <w:rPr>
      <w:b/>
      <w:bCs/>
      <w:sz w:val="22"/>
      <w:szCs w:val="22"/>
    </w:rPr>
  </w:style>
  <w:style w:type="paragraph" w:styleId="Ttulo6">
    <w:name w:val="heading 6"/>
    <w:basedOn w:val="Normal"/>
    <w:next w:val="Normal"/>
    <w:link w:val="Ttulo6Car"/>
    <w:uiPriority w:val="9"/>
    <w:semiHidden/>
    <w:unhideWhenUsed/>
    <w:qFormat/>
    <w:pPr>
      <w:keepNext/>
      <w:keepLines/>
      <w:spacing w:before="200" w:after="40"/>
      <w:outlineLvl w:val="5"/>
    </w:pPr>
    <w:rPr>
      <w:b/>
      <w:bCs/>
      <w:sz w:val="20"/>
      <w:szCs w:val="20"/>
    </w:rPr>
  </w:style>
  <w:style w:type="paragraph" w:styleId="Ttulo7">
    <w:name w:val="heading 7"/>
    <w:basedOn w:val="Normal"/>
    <w:next w:val="Normal"/>
    <w:link w:val="Ttulo7Car"/>
    <w:uiPriority w:val="9"/>
    <w:semiHidden/>
    <w:unhideWhenUsed/>
    <w:qFormat/>
    <w:rsid w:val="006C5AB5"/>
    <w:pPr>
      <w:keepNext/>
      <w:keepLines/>
      <w:spacing w:before="40" w:line="278" w:lineRule="auto"/>
      <w:outlineLvl w:val="6"/>
    </w:pPr>
    <w:rPr>
      <w:rFonts w:asciiTheme="minorHAnsi" w:eastAsiaTheme="majorEastAsia" w:hAnsiTheme="minorHAnsi" w:cstheme="majorBidi"/>
      <w:color w:val="595959" w:themeColor="text1" w:themeTint="A6"/>
      <w:kern w:val="2"/>
      <w:lang w:eastAsia="en-US"/>
      <w14:ligatures w14:val="standardContextual"/>
    </w:rPr>
  </w:style>
  <w:style w:type="paragraph" w:styleId="Ttulo8">
    <w:name w:val="heading 8"/>
    <w:basedOn w:val="Normal"/>
    <w:next w:val="Normal"/>
    <w:link w:val="Ttulo8Car"/>
    <w:uiPriority w:val="9"/>
    <w:semiHidden/>
    <w:unhideWhenUsed/>
    <w:qFormat/>
    <w:rsid w:val="006C5AB5"/>
    <w:pPr>
      <w:keepNext/>
      <w:keepLines/>
      <w:spacing w:line="278" w:lineRule="auto"/>
      <w:outlineLvl w:val="7"/>
    </w:pPr>
    <w:rPr>
      <w:rFonts w:asciiTheme="minorHAnsi" w:eastAsiaTheme="majorEastAsia" w:hAnsiTheme="minorHAnsi" w:cstheme="majorBidi"/>
      <w:i/>
      <w:iCs/>
      <w:color w:val="272727" w:themeColor="text1" w:themeTint="D8"/>
      <w:kern w:val="2"/>
      <w:lang w:eastAsia="en-US"/>
      <w14:ligatures w14:val="standardContextual"/>
    </w:rPr>
  </w:style>
  <w:style w:type="paragraph" w:styleId="Ttulo9">
    <w:name w:val="heading 9"/>
    <w:basedOn w:val="Normal"/>
    <w:next w:val="Normal"/>
    <w:link w:val="Ttulo9Car"/>
    <w:uiPriority w:val="9"/>
    <w:semiHidden/>
    <w:unhideWhenUsed/>
    <w:qFormat/>
    <w:rsid w:val="006C5AB5"/>
    <w:pPr>
      <w:keepNext/>
      <w:keepLines/>
      <w:spacing w:line="278" w:lineRule="auto"/>
      <w:outlineLvl w:val="8"/>
    </w:pPr>
    <w:rPr>
      <w:rFonts w:asciiTheme="minorHAnsi" w:eastAsiaTheme="majorEastAsia" w:hAnsiTheme="minorHAnsi" w:cstheme="majorBidi"/>
      <w:color w:val="272727" w:themeColor="text1" w:themeTint="D8"/>
      <w:kern w:val="2"/>
      <w:lang w:eastAsia="en-US"/>
      <w14:ligatures w14:val="standardContextua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link w:val="TtuloCar"/>
    <w:uiPriority w:val="10"/>
    <w:qFormat/>
    <w:pPr>
      <w:keepNext/>
      <w:keepLines/>
      <w:spacing w:before="480" w:after="120"/>
    </w:pPr>
    <w:rPr>
      <w:b/>
      <w:bCs/>
      <w:sz w:val="72"/>
      <w:szCs w:val="72"/>
    </w:rPr>
  </w:style>
  <w:style w:type="paragraph" w:styleId="Subttulo">
    <w:name w:val="Subtitle"/>
    <w:basedOn w:val="Normal"/>
    <w:next w:val="Normal"/>
    <w:link w:val="SubttuloCar"/>
    <w:uiPriority w:val="11"/>
    <w:qFormat/>
    <w:pPr>
      <w:keepNext/>
      <w:keepLines/>
      <w:spacing w:before="360" w:after="80"/>
    </w:pPr>
    <w:rPr>
      <w:rFonts w:ascii="Georgia" w:eastAsia="Georgia" w:hAnsi="Georgia" w:cs="Georgia"/>
      <w:i/>
      <w:iCs/>
      <w:color w:val="666666"/>
      <w:sz w:val="48"/>
      <w:szCs w:val="48"/>
    </w:rPr>
  </w:style>
  <w:style w:type="character" w:customStyle="1" w:styleId="Ttulo7Car">
    <w:name w:val="Título 7 Car"/>
    <w:basedOn w:val="Fuentedeprrafopredeter"/>
    <w:link w:val="Ttulo7"/>
    <w:uiPriority w:val="9"/>
    <w:semiHidden/>
    <w:rsid w:val="006C5AB5"/>
    <w:rPr>
      <w:rFonts w:asciiTheme="minorHAnsi" w:eastAsiaTheme="majorEastAsia" w:hAnsiTheme="minorHAnsi" w:cstheme="majorBidi"/>
      <w:color w:val="595959" w:themeColor="text1" w:themeTint="A6"/>
      <w:kern w:val="2"/>
      <w:lang w:eastAsia="en-US"/>
      <w14:ligatures w14:val="standardContextual"/>
    </w:rPr>
  </w:style>
  <w:style w:type="character" w:customStyle="1" w:styleId="Ttulo8Car">
    <w:name w:val="Título 8 Car"/>
    <w:basedOn w:val="Fuentedeprrafopredeter"/>
    <w:link w:val="Ttulo8"/>
    <w:uiPriority w:val="9"/>
    <w:semiHidden/>
    <w:rsid w:val="006C5AB5"/>
    <w:rPr>
      <w:rFonts w:asciiTheme="minorHAnsi" w:eastAsiaTheme="majorEastAsia" w:hAnsiTheme="minorHAnsi" w:cstheme="majorBidi"/>
      <w:i/>
      <w:iCs/>
      <w:color w:val="272727" w:themeColor="text1" w:themeTint="D8"/>
      <w:kern w:val="2"/>
      <w:lang w:eastAsia="en-US"/>
      <w14:ligatures w14:val="standardContextual"/>
    </w:rPr>
  </w:style>
  <w:style w:type="character" w:customStyle="1" w:styleId="Ttulo9Car">
    <w:name w:val="Título 9 Car"/>
    <w:basedOn w:val="Fuentedeprrafopredeter"/>
    <w:link w:val="Ttulo9"/>
    <w:uiPriority w:val="9"/>
    <w:semiHidden/>
    <w:rsid w:val="006C5AB5"/>
    <w:rPr>
      <w:rFonts w:asciiTheme="minorHAnsi" w:eastAsiaTheme="majorEastAsia" w:hAnsiTheme="minorHAnsi" w:cstheme="majorBidi"/>
      <w:color w:val="272727" w:themeColor="text1" w:themeTint="D8"/>
      <w:kern w:val="2"/>
      <w:lang w:eastAsia="en-US"/>
      <w14:ligatures w14:val="standardContextual"/>
    </w:rPr>
  </w:style>
  <w:style w:type="character" w:customStyle="1" w:styleId="Ttulo1Car">
    <w:name w:val="Título 1 Car"/>
    <w:basedOn w:val="Fuentedeprrafopredeter"/>
    <w:link w:val="Ttulo1"/>
    <w:uiPriority w:val="9"/>
    <w:rsid w:val="006C5AB5"/>
    <w:rPr>
      <w:b/>
      <w:bCs/>
      <w:sz w:val="48"/>
      <w:szCs w:val="48"/>
    </w:rPr>
  </w:style>
  <w:style w:type="character" w:customStyle="1" w:styleId="Ttulo2Car">
    <w:name w:val="Título 2 Car"/>
    <w:basedOn w:val="Fuentedeprrafopredeter"/>
    <w:link w:val="Ttulo2"/>
    <w:uiPriority w:val="9"/>
    <w:semiHidden/>
    <w:rsid w:val="006C5AB5"/>
    <w:rPr>
      <w:b/>
      <w:bCs/>
      <w:sz w:val="36"/>
      <w:szCs w:val="36"/>
    </w:rPr>
  </w:style>
  <w:style w:type="character" w:customStyle="1" w:styleId="Ttulo3Car">
    <w:name w:val="Título 3 Car"/>
    <w:basedOn w:val="Fuentedeprrafopredeter"/>
    <w:link w:val="Ttulo3"/>
    <w:uiPriority w:val="9"/>
    <w:semiHidden/>
    <w:rsid w:val="006C5AB5"/>
    <w:rPr>
      <w:b/>
      <w:bCs/>
      <w:sz w:val="28"/>
      <w:szCs w:val="28"/>
    </w:rPr>
  </w:style>
  <w:style w:type="character" w:customStyle="1" w:styleId="Ttulo4Car">
    <w:name w:val="Título 4 Car"/>
    <w:basedOn w:val="Fuentedeprrafopredeter"/>
    <w:link w:val="Ttulo4"/>
    <w:uiPriority w:val="9"/>
    <w:semiHidden/>
    <w:rsid w:val="006C5AB5"/>
    <w:rPr>
      <w:b/>
      <w:bCs/>
    </w:rPr>
  </w:style>
  <w:style w:type="character" w:customStyle="1" w:styleId="Ttulo5Car">
    <w:name w:val="Título 5 Car"/>
    <w:basedOn w:val="Fuentedeprrafopredeter"/>
    <w:link w:val="Ttulo5"/>
    <w:uiPriority w:val="9"/>
    <w:semiHidden/>
    <w:rsid w:val="006C5AB5"/>
    <w:rPr>
      <w:b/>
      <w:bCs/>
      <w:sz w:val="22"/>
      <w:szCs w:val="22"/>
    </w:rPr>
  </w:style>
  <w:style w:type="character" w:customStyle="1" w:styleId="Ttulo6Car">
    <w:name w:val="Título 6 Car"/>
    <w:basedOn w:val="Fuentedeprrafopredeter"/>
    <w:link w:val="Ttulo6"/>
    <w:uiPriority w:val="9"/>
    <w:semiHidden/>
    <w:rsid w:val="006C5AB5"/>
    <w:rPr>
      <w:b/>
      <w:bCs/>
      <w:sz w:val="20"/>
      <w:szCs w:val="20"/>
    </w:rPr>
  </w:style>
  <w:style w:type="character" w:customStyle="1" w:styleId="TtuloCar">
    <w:name w:val="Título Car"/>
    <w:basedOn w:val="Fuentedeprrafopredeter"/>
    <w:link w:val="Ttulo"/>
    <w:uiPriority w:val="10"/>
    <w:rsid w:val="006C5AB5"/>
    <w:rPr>
      <w:b/>
      <w:bCs/>
      <w:sz w:val="72"/>
      <w:szCs w:val="72"/>
    </w:rPr>
  </w:style>
  <w:style w:type="character" w:customStyle="1" w:styleId="SubttuloCar">
    <w:name w:val="Subtítulo Car"/>
    <w:basedOn w:val="Fuentedeprrafopredeter"/>
    <w:link w:val="Subttulo"/>
    <w:uiPriority w:val="11"/>
    <w:rsid w:val="006C5AB5"/>
    <w:rPr>
      <w:rFonts w:ascii="Georgia" w:eastAsia="Georgia" w:hAnsi="Georgia" w:cs="Georgia"/>
      <w:i/>
      <w:iCs/>
      <w:color w:val="666666"/>
      <w:sz w:val="48"/>
      <w:szCs w:val="48"/>
    </w:rPr>
  </w:style>
  <w:style w:type="paragraph" w:styleId="Cita">
    <w:name w:val="Quote"/>
    <w:basedOn w:val="Normal"/>
    <w:next w:val="Normal"/>
    <w:link w:val="CitaCar"/>
    <w:uiPriority w:val="29"/>
    <w:qFormat/>
    <w:rsid w:val="006C5AB5"/>
    <w:pPr>
      <w:spacing w:before="160" w:after="160" w:line="278" w:lineRule="auto"/>
      <w:jc w:val="center"/>
    </w:pPr>
    <w:rPr>
      <w:rFonts w:asciiTheme="minorHAnsi" w:eastAsiaTheme="minorHAnsi" w:hAnsiTheme="minorHAnsi" w:cstheme="minorBidi"/>
      <w:i/>
      <w:iCs/>
      <w:color w:val="404040" w:themeColor="text1" w:themeTint="BF"/>
      <w:kern w:val="2"/>
      <w:lang w:eastAsia="en-US"/>
      <w14:ligatures w14:val="standardContextual"/>
    </w:rPr>
  </w:style>
  <w:style w:type="character" w:customStyle="1" w:styleId="CitaCar">
    <w:name w:val="Cita Car"/>
    <w:basedOn w:val="Fuentedeprrafopredeter"/>
    <w:link w:val="Cita"/>
    <w:uiPriority w:val="29"/>
    <w:rsid w:val="006C5AB5"/>
    <w:rPr>
      <w:rFonts w:asciiTheme="minorHAnsi" w:eastAsiaTheme="minorHAnsi" w:hAnsiTheme="minorHAnsi" w:cstheme="minorBidi"/>
      <w:i/>
      <w:iCs/>
      <w:color w:val="404040" w:themeColor="text1" w:themeTint="BF"/>
      <w:kern w:val="2"/>
      <w:lang w:eastAsia="en-US"/>
      <w14:ligatures w14:val="standardContextual"/>
    </w:rPr>
  </w:style>
  <w:style w:type="paragraph" w:styleId="Prrafodelista">
    <w:name w:val="List Paragraph"/>
    <w:basedOn w:val="Normal"/>
    <w:uiPriority w:val="34"/>
    <w:qFormat/>
    <w:rsid w:val="006C5AB5"/>
    <w:pPr>
      <w:spacing w:after="160" w:line="278" w:lineRule="auto"/>
      <w:ind w:left="720"/>
      <w:contextualSpacing/>
    </w:pPr>
    <w:rPr>
      <w:rFonts w:asciiTheme="minorHAnsi" w:eastAsiaTheme="minorHAnsi" w:hAnsiTheme="minorHAnsi" w:cstheme="minorBidi"/>
      <w:kern w:val="2"/>
      <w:lang w:eastAsia="en-US"/>
      <w14:ligatures w14:val="standardContextual"/>
    </w:rPr>
  </w:style>
  <w:style w:type="character" w:styleId="nfasisintenso">
    <w:name w:val="Intense Emphasis"/>
    <w:basedOn w:val="Fuentedeprrafopredeter"/>
    <w:uiPriority w:val="21"/>
    <w:qFormat/>
    <w:rsid w:val="006C5AB5"/>
    <w:rPr>
      <w:i/>
      <w:iCs/>
      <w:color w:val="365F91" w:themeColor="accent1" w:themeShade="BF"/>
    </w:rPr>
  </w:style>
  <w:style w:type="paragraph" w:styleId="Citadestacada">
    <w:name w:val="Intense Quote"/>
    <w:basedOn w:val="Normal"/>
    <w:next w:val="Normal"/>
    <w:link w:val="CitadestacadaCar"/>
    <w:uiPriority w:val="30"/>
    <w:qFormat/>
    <w:rsid w:val="006C5AB5"/>
    <w:pPr>
      <w:pBdr>
        <w:top w:val="single" w:sz="4" w:space="10" w:color="365F91" w:themeColor="accent1" w:themeShade="BF"/>
        <w:bottom w:val="single" w:sz="4" w:space="10" w:color="365F91" w:themeColor="accent1" w:themeShade="BF"/>
      </w:pBdr>
      <w:spacing w:before="360" w:after="360" w:line="278" w:lineRule="auto"/>
      <w:ind w:left="864" w:right="864"/>
      <w:jc w:val="center"/>
    </w:pPr>
    <w:rPr>
      <w:rFonts w:asciiTheme="minorHAnsi" w:eastAsiaTheme="minorHAnsi" w:hAnsiTheme="minorHAnsi" w:cstheme="minorBidi"/>
      <w:i/>
      <w:iCs/>
      <w:color w:val="365F91" w:themeColor="accent1" w:themeShade="BF"/>
      <w:kern w:val="2"/>
      <w:lang w:eastAsia="en-US"/>
      <w14:ligatures w14:val="standardContextual"/>
    </w:rPr>
  </w:style>
  <w:style w:type="character" w:customStyle="1" w:styleId="CitadestacadaCar">
    <w:name w:val="Cita destacada Car"/>
    <w:basedOn w:val="Fuentedeprrafopredeter"/>
    <w:link w:val="Citadestacada"/>
    <w:uiPriority w:val="30"/>
    <w:rsid w:val="006C5AB5"/>
    <w:rPr>
      <w:rFonts w:asciiTheme="minorHAnsi" w:eastAsiaTheme="minorHAnsi" w:hAnsiTheme="minorHAnsi" w:cstheme="minorBidi"/>
      <w:i/>
      <w:iCs/>
      <w:color w:val="365F91" w:themeColor="accent1" w:themeShade="BF"/>
      <w:kern w:val="2"/>
      <w:lang w:eastAsia="en-US"/>
      <w14:ligatures w14:val="standardContextual"/>
    </w:rPr>
  </w:style>
  <w:style w:type="character" w:styleId="Referenciaintensa">
    <w:name w:val="Intense Reference"/>
    <w:basedOn w:val="Fuentedeprrafopredeter"/>
    <w:uiPriority w:val="32"/>
    <w:qFormat/>
    <w:rsid w:val="006C5AB5"/>
    <w:rPr>
      <w:b/>
      <w:bCs/>
      <w:smallCaps/>
      <w:color w:val="365F91"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20.png"/></Relationships>
</file>

<file path=word/_rels/header1.xml.rels><?xml version="1.0" encoding="UTF-8" standalone="yes"?>
<Relationships xmlns="http://schemas.openxmlformats.org/package/2006/relationships"><Relationship Id="rId3" Type="http://schemas.openxmlformats.org/officeDocument/2006/relationships/image" Target="media/image20.pn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14</Pages>
  <Words>5160</Words>
  <Characters>28383</Characters>
  <Application>Microsoft Office Word</Application>
  <DocSecurity>0</DocSecurity>
  <Lines>236</Lines>
  <Paragraphs>66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33477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Jacky</dc:creator>
  <cp:lastModifiedBy>Jackeline Betancourt Ch</cp:lastModifiedBy>
  <cp:revision>2</cp:revision>
  <dcterms:created xsi:type="dcterms:W3CDTF">2026-03-16T01:06:00Z</dcterms:created>
  <dcterms:modified xsi:type="dcterms:W3CDTF">2026-03-16T01:06:00Z</dcterms:modified>
</cp:coreProperties>
</file>